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lang w:eastAsia="zh-CN"/>
        </w:rPr>
        <w:t>国家矿山安全监察局陕西</w:t>
      </w:r>
      <w:r>
        <w:rPr>
          <w:rFonts w:asciiTheme="majorEastAsia" w:hAnsiTheme="majorEastAsia" w:eastAsiaTheme="majorEastAsia"/>
          <w:b/>
          <w:sz w:val="36"/>
          <w:szCs w:val="36"/>
        </w:rPr>
        <w:t>局随机抽查事项清单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3827"/>
        <w:gridCol w:w="1276"/>
        <w:gridCol w:w="1701"/>
        <w:gridCol w:w="1276"/>
        <w:gridCol w:w="1275"/>
        <w:gridCol w:w="1276"/>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17" w:type="dxa"/>
            <w:vAlign w:val="center"/>
          </w:tcPr>
          <w:p>
            <w:pPr>
              <w:jc w:val="center"/>
              <w:rPr>
                <w:rFonts w:ascii="黑体" w:hAnsi="黑体" w:eastAsia="黑体"/>
                <w:sz w:val="24"/>
                <w:szCs w:val="24"/>
              </w:rPr>
            </w:pPr>
            <w:r>
              <w:rPr>
                <w:rFonts w:ascii="黑体" w:hAnsi="黑体" w:eastAsia="黑体"/>
                <w:sz w:val="24"/>
                <w:szCs w:val="24"/>
              </w:rPr>
              <w:t>序号</w:t>
            </w:r>
          </w:p>
        </w:tc>
        <w:tc>
          <w:tcPr>
            <w:tcW w:w="1276" w:type="dxa"/>
            <w:vAlign w:val="center"/>
          </w:tcPr>
          <w:p>
            <w:pPr>
              <w:jc w:val="center"/>
              <w:rPr>
                <w:rFonts w:ascii="黑体" w:hAnsi="黑体" w:eastAsia="黑体"/>
                <w:sz w:val="24"/>
                <w:szCs w:val="24"/>
              </w:rPr>
            </w:pPr>
            <w:r>
              <w:rPr>
                <w:rFonts w:ascii="黑体" w:hAnsi="黑体" w:eastAsia="黑体"/>
                <w:sz w:val="24"/>
                <w:szCs w:val="24"/>
              </w:rPr>
              <w:t>抽查事项</w:t>
            </w:r>
          </w:p>
        </w:tc>
        <w:tc>
          <w:tcPr>
            <w:tcW w:w="3827" w:type="dxa"/>
            <w:vAlign w:val="center"/>
          </w:tcPr>
          <w:p>
            <w:pPr>
              <w:jc w:val="center"/>
              <w:rPr>
                <w:rFonts w:ascii="黑体" w:hAnsi="黑体" w:eastAsia="黑体"/>
                <w:sz w:val="24"/>
                <w:szCs w:val="24"/>
              </w:rPr>
            </w:pPr>
            <w:r>
              <w:rPr>
                <w:rFonts w:ascii="黑体" w:hAnsi="黑体" w:eastAsia="黑体"/>
                <w:sz w:val="24"/>
                <w:szCs w:val="24"/>
              </w:rPr>
              <w:t>抽查依据</w:t>
            </w:r>
          </w:p>
        </w:tc>
        <w:tc>
          <w:tcPr>
            <w:tcW w:w="1276" w:type="dxa"/>
            <w:vAlign w:val="center"/>
          </w:tcPr>
          <w:p>
            <w:pPr>
              <w:jc w:val="center"/>
              <w:rPr>
                <w:rFonts w:ascii="黑体" w:hAnsi="黑体" w:eastAsia="黑体"/>
                <w:sz w:val="24"/>
                <w:szCs w:val="24"/>
              </w:rPr>
            </w:pPr>
            <w:r>
              <w:rPr>
                <w:rFonts w:ascii="黑体" w:hAnsi="黑体" w:eastAsia="黑体"/>
                <w:sz w:val="24"/>
                <w:szCs w:val="24"/>
              </w:rPr>
              <w:t>抽查对象</w:t>
            </w:r>
          </w:p>
        </w:tc>
        <w:tc>
          <w:tcPr>
            <w:tcW w:w="1701" w:type="dxa"/>
            <w:vAlign w:val="center"/>
          </w:tcPr>
          <w:p>
            <w:pPr>
              <w:jc w:val="center"/>
              <w:rPr>
                <w:rFonts w:ascii="黑体" w:hAnsi="黑体" w:eastAsia="黑体"/>
                <w:sz w:val="24"/>
                <w:szCs w:val="24"/>
              </w:rPr>
            </w:pPr>
            <w:r>
              <w:rPr>
                <w:rFonts w:ascii="黑体" w:hAnsi="黑体" w:eastAsia="黑体"/>
                <w:sz w:val="24"/>
                <w:szCs w:val="24"/>
              </w:rPr>
              <w:t>抽查对象基数</w:t>
            </w:r>
          </w:p>
        </w:tc>
        <w:tc>
          <w:tcPr>
            <w:tcW w:w="1276" w:type="dxa"/>
            <w:vAlign w:val="center"/>
          </w:tcPr>
          <w:p>
            <w:pPr>
              <w:jc w:val="center"/>
              <w:rPr>
                <w:rFonts w:ascii="黑体" w:hAnsi="黑体" w:eastAsia="黑体"/>
                <w:sz w:val="24"/>
                <w:szCs w:val="24"/>
              </w:rPr>
            </w:pPr>
            <w:r>
              <w:rPr>
                <w:rFonts w:ascii="黑体" w:hAnsi="黑体" w:eastAsia="黑体"/>
                <w:sz w:val="24"/>
                <w:szCs w:val="24"/>
              </w:rPr>
              <w:t>抽查比例</w:t>
            </w:r>
          </w:p>
        </w:tc>
        <w:tc>
          <w:tcPr>
            <w:tcW w:w="1275" w:type="dxa"/>
            <w:vAlign w:val="center"/>
          </w:tcPr>
          <w:p>
            <w:pPr>
              <w:jc w:val="center"/>
              <w:rPr>
                <w:rFonts w:ascii="黑体" w:hAnsi="黑体" w:eastAsia="黑体"/>
                <w:sz w:val="24"/>
                <w:szCs w:val="24"/>
              </w:rPr>
            </w:pPr>
            <w:r>
              <w:rPr>
                <w:rFonts w:ascii="黑体" w:hAnsi="黑体" w:eastAsia="黑体"/>
                <w:sz w:val="24"/>
                <w:szCs w:val="24"/>
              </w:rPr>
              <w:t>抽查周期</w:t>
            </w:r>
          </w:p>
        </w:tc>
        <w:tc>
          <w:tcPr>
            <w:tcW w:w="1276" w:type="dxa"/>
            <w:vAlign w:val="center"/>
          </w:tcPr>
          <w:p>
            <w:pPr>
              <w:jc w:val="center"/>
              <w:rPr>
                <w:rFonts w:ascii="黑体" w:hAnsi="黑体" w:eastAsia="黑体"/>
                <w:sz w:val="24"/>
                <w:szCs w:val="24"/>
              </w:rPr>
            </w:pPr>
            <w:r>
              <w:rPr>
                <w:rFonts w:ascii="黑体" w:hAnsi="黑体" w:eastAsia="黑体"/>
                <w:sz w:val="24"/>
                <w:szCs w:val="24"/>
              </w:rPr>
              <w:t>抽查方式</w:t>
            </w:r>
          </w:p>
        </w:tc>
        <w:tc>
          <w:tcPr>
            <w:tcW w:w="1229" w:type="dxa"/>
            <w:vAlign w:val="center"/>
          </w:tcPr>
          <w:p>
            <w:pPr>
              <w:jc w:val="center"/>
              <w:rPr>
                <w:rFonts w:ascii="黑体" w:hAnsi="黑体" w:eastAsia="黑体"/>
                <w:sz w:val="24"/>
                <w:szCs w:val="24"/>
              </w:rPr>
            </w:pPr>
            <w:r>
              <w:rPr>
                <w:rFonts w:ascii="黑体" w:hAnsi="黑体" w:eastAsia="黑体"/>
                <w:sz w:val="24"/>
                <w:szCs w:val="24"/>
              </w:rPr>
              <w:t>抽查主体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17" w:type="dxa"/>
            <w:vAlign w:val="center"/>
          </w:tcPr>
          <w:p>
            <w:pPr>
              <w:jc w:val="center"/>
              <w:rPr>
                <w:rFonts w:asciiTheme="minorEastAsia" w:hAnsiTheme="minorEastAsia"/>
                <w:sz w:val="19"/>
                <w:szCs w:val="19"/>
              </w:rPr>
            </w:pPr>
            <w:r>
              <w:rPr>
                <w:rFonts w:hint="eastAsia" w:asciiTheme="minorEastAsia" w:hAnsiTheme="minorEastAsia"/>
                <w:sz w:val="19"/>
                <w:szCs w:val="19"/>
              </w:rPr>
              <w:t>1</w:t>
            </w:r>
          </w:p>
        </w:tc>
        <w:tc>
          <w:tcPr>
            <w:tcW w:w="1276" w:type="dxa"/>
            <w:vAlign w:val="center"/>
          </w:tcPr>
          <w:p>
            <w:pPr>
              <w:jc w:val="center"/>
              <w:rPr>
                <w:rFonts w:asciiTheme="minorEastAsia" w:hAnsiTheme="minorEastAsia"/>
                <w:sz w:val="19"/>
                <w:szCs w:val="19"/>
              </w:rPr>
            </w:pPr>
            <w:r>
              <w:rPr>
                <w:rFonts w:hint="eastAsia" w:asciiTheme="minorEastAsia" w:hAnsiTheme="minorEastAsia"/>
                <w:kern w:val="0"/>
                <w:sz w:val="19"/>
                <w:szCs w:val="19"/>
              </w:rPr>
              <w:t>对煤矿执行有关安全生产的法律、法规和国家标准或者行业标准的情况进行监督检查</w:t>
            </w:r>
          </w:p>
        </w:tc>
        <w:tc>
          <w:tcPr>
            <w:tcW w:w="3827" w:type="dxa"/>
            <w:vAlign w:val="center"/>
          </w:tcPr>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【法律】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《中华人民共和国安全生产法》</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第五十九条  县级以上地方各级人民政府应当根据本行政区域内的安全生产状况，组织有关部门按照职责分工，对本行政区域内容易发生重大生产安全事故的生产经营单位进行严格检查。</w:t>
            </w:r>
          </w:p>
          <w:p>
            <w:pPr>
              <w:adjustRightInd w:val="0"/>
              <w:snapToGrid w:val="0"/>
              <w:ind w:firstLine="380" w:firstLineChars="200"/>
              <w:jc w:val="left"/>
              <w:rPr>
                <w:rFonts w:asciiTheme="minorEastAsia" w:hAnsiTheme="minorEastAsia"/>
                <w:kern w:val="0"/>
                <w:sz w:val="19"/>
                <w:szCs w:val="19"/>
              </w:rPr>
            </w:pPr>
            <w:r>
              <w:rPr>
                <w:rFonts w:hint="eastAsia" w:asciiTheme="minorEastAsia" w:hAnsiTheme="minorEastAsia"/>
                <w:kern w:val="0"/>
                <w:sz w:val="19"/>
                <w:szCs w:val="19"/>
              </w:rPr>
              <w:t>安全生产监督管理部门应当按照分类分级监督管理的要求，制定安全生产年度监督检查计划，并按照年度监督检查计划进行监督检查，发现事故隐患，应当及时处理。</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第六十二条第一款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（一）进入生产经营单位进行检查，调阅有关资料，向有关单位和人员了解情况；</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【行政法规】</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1.《国务院关于预防煤矿生产安全事故的特别规定》</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第三条  国务院有关部门和地方各级人民政府应当建立并落实预防煤矿生产安全事故的责任制，监督检查煤矿企业预防煤矿生产安全事故的情况，及时解决煤矿生产安全事故预防工作中的重大问题。</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2.《煤矿安全监察条例》</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第十四条  煤矿安全监察人员履行安全监察职责，有权随时进入煤矿作业场所进行检查，调阅有关资料，参加煤矿安全生产会议，向有关单位或者人员了解情况。</w:t>
            </w:r>
          </w:p>
          <w:p>
            <w:pPr>
              <w:adjustRightInd w:val="0"/>
              <w:snapToGrid w:val="0"/>
              <w:jc w:val="left"/>
              <w:rPr>
                <w:rFonts w:asciiTheme="minorEastAsia" w:hAnsiTheme="minorEastAsia"/>
                <w:kern w:val="0"/>
                <w:sz w:val="19"/>
                <w:szCs w:val="19"/>
              </w:rPr>
            </w:pPr>
            <w:r>
              <w:rPr>
                <w:rFonts w:hint="eastAsia" w:asciiTheme="minorEastAsia" w:hAnsiTheme="minorEastAsia"/>
                <w:kern w:val="0"/>
                <w:sz w:val="19"/>
                <w:szCs w:val="19"/>
              </w:rPr>
              <w:t>第三十三条第二款  煤矿安全监察机构及其煤矿安全监察人员依照本条例的规定责令煤矿立即停止作业，责令立即停止使用不符合国家安全标准或者行业安全标准的设备、器材、仪器、仪表、防护用品，或者责令关闭矿井的，应当对煤矿的执行情况随时进行检查。</w:t>
            </w:r>
          </w:p>
        </w:tc>
        <w:tc>
          <w:tcPr>
            <w:tcW w:w="1276" w:type="dxa"/>
            <w:vAlign w:val="center"/>
          </w:tcPr>
          <w:p>
            <w:pPr>
              <w:jc w:val="center"/>
              <w:rPr>
                <w:rFonts w:asciiTheme="minorEastAsia" w:hAnsiTheme="minorEastAsia"/>
                <w:sz w:val="19"/>
                <w:szCs w:val="19"/>
              </w:rPr>
            </w:pPr>
            <w:r>
              <w:rPr>
                <w:rFonts w:asciiTheme="minorEastAsia" w:hAnsiTheme="minorEastAsia"/>
                <w:sz w:val="19"/>
                <w:szCs w:val="19"/>
              </w:rPr>
              <w:t>煤矿</w:t>
            </w:r>
          </w:p>
        </w:tc>
        <w:tc>
          <w:tcPr>
            <w:tcW w:w="1701" w:type="dxa"/>
            <w:vAlign w:val="center"/>
          </w:tcPr>
          <w:p>
            <w:pPr>
              <w:jc w:val="center"/>
              <w:rPr>
                <w:rFonts w:asciiTheme="minorEastAsia" w:hAnsiTheme="minorEastAsia"/>
                <w:sz w:val="19"/>
                <w:szCs w:val="19"/>
              </w:rPr>
            </w:pPr>
            <w:r>
              <w:rPr>
                <w:rFonts w:hint="eastAsia" w:asciiTheme="minorEastAsia" w:hAnsiTheme="minorEastAsia"/>
                <w:sz w:val="19"/>
                <w:szCs w:val="19"/>
              </w:rPr>
              <w:t>370（动态调整）</w:t>
            </w:r>
          </w:p>
        </w:tc>
        <w:tc>
          <w:tcPr>
            <w:tcW w:w="1276" w:type="dxa"/>
            <w:vAlign w:val="center"/>
          </w:tcPr>
          <w:p>
            <w:pPr>
              <w:jc w:val="center"/>
              <w:rPr>
                <w:rFonts w:asciiTheme="minorEastAsia" w:hAnsiTheme="minorEastAsia"/>
                <w:sz w:val="19"/>
                <w:szCs w:val="19"/>
              </w:rPr>
            </w:pPr>
            <w:r>
              <w:rPr>
                <w:rFonts w:hint="eastAsia" w:asciiTheme="minorEastAsia" w:hAnsiTheme="minorEastAsia"/>
                <w:sz w:val="19"/>
                <w:szCs w:val="19"/>
              </w:rPr>
              <w:t>100%</w:t>
            </w:r>
          </w:p>
        </w:tc>
        <w:tc>
          <w:tcPr>
            <w:tcW w:w="1275" w:type="dxa"/>
            <w:vAlign w:val="center"/>
          </w:tcPr>
          <w:p>
            <w:pPr>
              <w:jc w:val="center"/>
              <w:rPr>
                <w:rFonts w:asciiTheme="minorEastAsia" w:hAnsiTheme="minorEastAsia"/>
                <w:sz w:val="19"/>
                <w:szCs w:val="19"/>
              </w:rPr>
            </w:pPr>
            <w:r>
              <w:rPr>
                <w:rFonts w:hint="eastAsia" w:asciiTheme="minorEastAsia" w:hAnsiTheme="minorEastAsia"/>
                <w:sz w:val="19"/>
                <w:szCs w:val="19"/>
              </w:rPr>
              <w:t>1年</w:t>
            </w:r>
          </w:p>
        </w:tc>
        <w:tc>
          <w:tcPr>
            <w:tcW w:w="1276" w:type="dxa"/>
            <w:vAlign w:val="center"/>
          </w:tcPr>
          <w:p>
            <w:pPr>
              <w:spacing w:after="180"/>
              <w:rPr>
                <w:rFonts w:asciiTheme="minorEastAsia" w:hAnsiTheme="minorEastAsia"/>
                <w:sz w:val="19"/>
                <w:szCs w:val="19"/>
              </w:rPr>
            </w:pPr>
            <w:r>
              <w:rPr>
                <w:rFonts w:hint="eastAsia" w:asciiTheme="minorEastAsia" w:hAnsiTheme="minorEastAsia"/>
                <w:sz w:val="19"/>
                <w:szCs w:val="19"/>
              </w:rPr>
              <w:t>现场检查</w:t>
            </w:r>
            <w:r>
              <w:rPr>
                <w:rFonts w:ascii="Helvetica" w:hAnsi="Helvetica" w:eastAsia="宋体" w:cs="宋体"/>
                <w:color w:val="333333"/>
                <w:kern w:val="0"/>
                <w:szCs w:val="21"/>
              </w:rPr>
              <w:t>、</w:t>
            </w:r>
            <w:r>
              <w:rPr>
                <w:rFonts w:asciiTheme="minorEastAsia" w:hAnsiTheme="minorEastAsia"/>
                <w:sz w:val="19"/>
                <w:szCs w:val="19"/>
              </w:rPr>
              <w:t>明查暗访及突击检查、专项检查</w:t>
            </w:r>
          </w:p>
        </w:tc>
        <w:tc>
          <w:tcPr>
            <w:tcW w:w="1229" w:type="dxa"/>
            <w:vAlign w:val="center"/>
          </w:tcPr>
          <w:p>
            <w:pPr>
              <w:jc w:val="center"/>
              <w:rPr>
                <w:rFonts w:hint="eastAsia" w:asciiTheme="minorEastAsia" w:hAnsiTheme="minorEastAsia" w:eastAsiaTheme="minorEastAsia"/>
                <w:sz w:val="19"/>
                <w:szCs w:val="19"/>
                <w:lang w:eastAsia="zh-CN"/>
              </w:rPr>
            </w:pPr>
            <w:r>
              <w:rPr>
                <w:rFonts w:hint="eastAsia" w:asciiTheme="minorEastAsia" w:hAnsiTheme="minorEastAsia"/>
                <w:sz w:val="19"/>
                <w:szCs w:val="19"/>
                <w:lang w:eastAsia="zh-CN"/>
              </w:rPr>
              <w:t>国家矿山安全监察局陕西局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17" w:type="dxa"/>
            <w:vAlign w:val="center"/>
          </w:tcPr>
          <w:p>
            <w:pPr>
              <w:jc w:val="center"/>
              <w:rPr>
                <w:rFonts w:asciiTheme="minorEastAsia" w:hAnsiTheme="minorEastAsia"/>
                <w:sz w:val="19"/>
                <w:szCs w:val="19"/>
              </w:rPr>
            </w:pPr>
            <w:r>
              <w:rPr>
                <w:rFonts w:hint="eastAsia" w:asciiTheme="minorEastAsia" w:hAnsiTheme="minorEastAsia"/>
                <w:sz w:val="19"/>
                <w:szCs w:val="19"/>
              </w:rPr>
              <w:t>2</w:t>
            </w:r>
          </w:p>
        </w:tc>
        <w:tc>
          <w:tcPr>
            <w:tcW w:w="1276" w:type="dxa"/>
            <w:vAlign w:val="center"/>
          </w:tcPr>
          <w:p>
            <w:pPr>
              <w:jc w:val="center"/>
              <w:rPr>
                <w:rFonts w:asciiTheme="minorEastAsia" w:hAnsiTheme="minorEastAsia"/>
                <w:sz w:val="19"/>
                <w:szCs w:val="19"/>
              </w:rPr>
            </w:pPr>
            <w:r>
              <w:rPr>
                <w:rFonts w:hint="eastAsia" w:cs="宋体" w:asciiTheme="minorEastAsia" w:hAnsiTheme="minorEastAsia"/>
                <w:kern w:val="0"/>
                <w:sz w:val="19"/>
                <w:szCs w:val="19"/>
              </w:rPr>
              <w:t>对事故发生单位落实防范和整改措施情况的监督检查</w:t>
            </w:r>
          </w:p>
        </w:tc>
        <w:tc>
          <w:tcPr>
            <w:tcW w:w="3827" w:type="dxa"/>
            <w:vAlign w:val="center"/>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《中华人民共和国安全生产法》</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第八十三条第二款  事故发生单位应当及时全面落实整改措施，负有安全生产监督管理职责的部门应当加强监督检查。                                                                                             </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【行政法规】</w:t>
            </w:r>
          </w:p>
          <w:p>
            <w:pPr>
              <w:jc w:val="left"/>
              <w:rPr>
                <w:rFonts w:asciiTheme="minorEastAsia" w:hAnsiTheme="minorEastAsia"/>
                <w:sz w:val="19"/>
                <w:szCs w:val="19"/>
              </w:rPr>
            </w:pPr>
            <w:r>
              <w:rPr>
                <w:rFonts w:hint="eastAsia" w:cs="宋体" w:asciiTheme="minorEastAsia" w:hAnsiTheme="minorEastAsia"/>
                <w:kern w:val="0"/>
                <w:sz w:val="19"/>
                <w:szCs w:val="19"/>
              </w:rPr>
              <w:t>《生产安全事故报告和调查处理条例》</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第三十三条第二款  安全生产监督管理部门和负有安全生产监督管理职责的有关部门应当对事故发生单位落实防范和整改措施的情况进行监督检查。</w:t>
            </w:r>
          </w:p>
        </w:tc>
        <w:tc>
          <w:tcPr>
            <w:tcW w:w="1276" w:type="dxa"/>
            <w:vAlign w:val="center"/>
          </w:tcPr>
          <w:p>
            <w:pPr>
              <w:jc w:val="center"/>
              <w:rPr>
                <w:rFonts w:asciiTheme="minorEastAsia" w:hAnsiTheme="minorEastAsia"/>
                <w:sz w:val="19"/>
                <w:szCs w:val="19"/>
              </w:rPr>
            </w:pPr>
            <w:r>
              <w:rPr>
                <w:rFonts w:hint="eastAsia" w:asciiTheme="minorEastAsia" w:hAnsiTheme="minorEastAsia"/>
                <w:sz w:val="19"/>
                <w:szCs w:val="19"/>
              </w:rPr>
              <w:t>事故发生</w:t>
            </w:r>
          </w:p>
          <w:p>
            <w:pPr>
              <w:jc w:val="center"/>
              <w:rPr>
                <w:rFonts w:asciiTheme="minorEastAsia" w:hAnsiTheme="minorEastAsia"/>
                <w:sz w:val="19"/>
                <w:szCs w:val="19"/>
              </w:rPr>
            </w:pPr>
            <w:r>
              <w:rPr>
                <w:rFonts w:hint="eastAsia" w:asciiTheme="minorEastAsia" w:hAnsiTheme="minorEastAsia"/>
                <w:sz w:val="19"/>
                <w:szCs w:val="19"/>
              </w:rPr>
              <w:t>煤矿</w:t>
            </w:r>
          </w:p>
        </w:tc>
        <w:tc>
          <w:tcPr>
            <w:tcW w:w="1701" w:type="dxa"/>
            <w:vAlign w:val="center"/>
          </w:tcPr>
          <w:p>
            <w:pPr>
              <w:jc w:val="center"/>
              <w:rPr>
                <w:rFonts w:asciiTheme="minorEastAsia" w:hAnsiTheme="minorEastAsia"/>
                <w:sz w:val="19"/>
                <w:szCs w:val="19"/>
              </w:rPr>
            </w:pPr>
            <w:r>
              <w:rPr>
                <w:rFonts w:hint="eastAsia" w:asciiTheme="minorEastAsia" w:hAnsiTheme="minorEastAsia"/>
                <w:sz w:val="19"/>
                <w:szCs w:val="19"/>
              </w:rPr>
              <w:t>12（动态调整）</w:t>
            </w:r>
          </w:p>
        </w:tc>
        <w:tc>
          <w:tcPr>
            <w:tcW w:w="1276" w:type="dxa"/>
            <w:vAlign w:val="center"/>
          </w:tcPr>
          <w:p>
            <w:pPr>
              <w:jc w:val="center"/>
              <w:rPr>
                <w:rFonts w:asciiTheme="minorEastAsia" w:hAnsiTheme="minorEastAsia"/>
                <w:sz w:val="19"/>
                <w:szCs w:val="19"/>
              </w:rPr>
            </w:pPr>
            <w:r>
              <w:rPr>
                <w:rFonts w:hint="eastAsia" w:asciiTheme="minorEastAsia" w:hAnsiTheme="minorEastAsia"/>
                <w:sz w:val="19"/>
                <w:szCs w:val="19"/>
              </w:rPr>
              <w:t>100%</w:t>
            </w:r>
          </w:p>
        </w:tc>
        <w:tc>
          <w:tcPr>
            <w:tcW w:w="1275" w:type="dxa"/>
            <w:vAlign w:val="center"/>
          </w:tcPr>
          <w:p>
            <w:pPr>
              <w:jc w:val="center"/>
              <w:rPr>
                <w:rFonts w:asciiTheme="minorEastAsia" w:hAnsiTheme="minorEastAsia"/>
                <w:sz w:val="19"/>
                <w:szCs w:val="19"/>
              </w:rPr>
            </w:pPr>
            <w:r>
              <w:rPr>
                <w:rFonts w:hint="eastAsia" w:asciiTheme="minorEastAsia" w:hAnsiTheme="minorEastAsia"/>
                <w:sz w:val="19"/>
                <w:szCs w:val="19"/>
              </w:rPr>
              <w:t>1年</w:t>
            </w:r>
          </w:p>
        </w:tc>
        <w:tc>
          <w:tcPr>
            <w:tcW w:w="1276" w:type="dxa"/>
            <w:vAlign w:val="center"/>
          </w:tcPr>
          <w:p>
            <w:pPr>
              <w:spacing w:after="180"/>
              <w:rPr>
                <w:rFonts w:asciiTheme="minorEastAsia" w:hAnsiTheme="minorEastAsia"/>
                <w:sz w:val="19"/>
                <w:szCs w:val="19"/>
              </w:rPr>
            </w:pPr>
            <w:r>
              <w:rPr>
                <w:rFonts w:hint="eastAsia" w:asciiTheme="minorEastAsia" w:hAnsiTheme="minorEastAsia"/>
                <w:sz w:val="19"/>
                <w:szCs w:val="19"/>
              </w:rPr>
              <w:t>现场检查</w:t>
            </w:r>
            <w:r>
              <w:rPr>
                <w:rFonts w:ascii="Helvetica" w:hAnsi="Helvetica" w:eastAsia="宋体" w:cs="宋体"/>
                <w:color w:val="333333"/>
                <w:kern w:val="0"/>
                <w:szCs w:val="21"/>
              </w:rPr>
              <w:t>、</w:t>
            </w:r>
            <w:r>
              <w:rPr>
                <w:rFonts w:asciiTheme="minorEastAsia" w:hAnsiTheme="minorEastAsia"/>
                <w:sz w:val="19"/>
                <w:szCs w:val="19"/>
              </w:rPr>
              <w:t>明查暗访及突击检查、专项检查</w:t>
            </w:r>
          </w:p>
        </w:tc>
        <w:tc>
          <w:tcPr>
            <w:tcW w:w="1229" w:type="dxa"/>
            <w:vAlign w:val="center"/>
          </w:tcPr>
          <w:p>
            <w:pPr>
              <w:jc w:val="center"/>
              <w:rPr>
                <w:rFonts w:asciiTheme="minorEastAsia" w:hAnsiTheme="minorEastAsia"/>
                <w:sz w:val="19"/>
                <w:szCs w:val="19"/>
              </w:rPr>
            </w:pPr>
            <w:r>
              <w:rPr>
                <w:rFonts w:hint="eastAsia" w:asciiTheme="minorEastAsia" w:hAnsiTheme="minorEastAsia"/>
                <w:sz w:val="19"/>
                <w:szCs w:val="19"/>
                <w:lang w:eastAsia="zh-CN"/>
              </w:rPr>
              <w:t>国家矿山安全监察局陕西局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817" w:type="dxa"/>
            <w:vAlign w:val="center"/>
          </w:tcPr>
          <w:p>
            <w:pPr>
              <w:jc w:val="center"/>
              <w:rPr>
                <w:rFonts w:asciiTheme="minorEastAsia" w:hAnsiTheme="minorEastAsia"/>
                <w:sz w:val="19"/>
                <w:szCs w:val="19"/>
              </w:rPr>
            </w:pPr>
            <w:r>
              <w:rPr>
                <w:rFonts w:hint="eastAsia" w:asciiTheme="minorEastAsia" w:hAnsiTheme="minorEastAsia"/>
                <w:sz w:val="19"/>
                <w:szCs w:val="19"/>
              </w:rPr>
              <w:t>3</w:t>
            </w:r>
          </w:p>
        </w:tc>
        <w:tc>
          <w:tcPr>
            <w:tcW w:w="1276" w:type="dxa"/>
            <w:vAlign w:val="center"/>
          </w:tcPr>
          <w:p>
            <w:pPr>
              <w:jc w:val="center"/>
              <w:rPr>
                <w:rFonts w:asciiTheme="minorEastAsia" w:hAnsiTheme="minorEastAsia"/>
                <w:sz w:val="19"/>
                <w:szCs w:val="19"/>
              </w:rPr>
            </w:pPr>
            <w:r>
              <w:rPr>
                <w:rFonts w:hint="eastAsia" w:cs="宋体" w:asciiTheme="minorEastAsia" w:hAnsiTheme="minorEastAsia"/>
                <w:kern w:val="0"/>
                <w:sz w:val="19"/>
                <w:szCs w:val="19"/>
              </w:rPr>
              <w:t>对建设单位验收活动和验收结果的监督核查</w:t>
            </w:r>
          </w:p>
        </w:tc>
        <w:tc>
          <w:tcPr>
            <w:tcW w:w="3827" w:type="dxa"/>
            <w:vAlign w:val="center"/>
          </w:tcPr>
          <w:p>
            <w:pPr>
              <w:widowControl/>
              <w:adjustRightInd w:val="0"/>
              <w:snapToGrid w:val="0"/>
              <w:jc w:val="left"/>
              <w:rPr>
                <w:rFonts w:cs="宋体" w:asciiTheme="minorEastAsia" w:hAnsiTheme="minorEastAsia"/>
                <w:kern w:val="0"/>
                <w:sz w:val="19"/>
                <w:szCs w:val="19"/>
              </w:rPr>
            </w:pPr>
            <w:r>
              <w:rPr>
                <w:rFonts w:hint="eastAsia" w:cs="宋体" w:asciiTheme="minorEastAsia" w:hAnsiTheme="minorEastAsia"/>
                <w:kern w:val="0"/>
                <w:sz w:val="19"/>
                <w:szCs w:val="19"/>
              </w:rPr>
              <w:t>【法律】</w:t>
            </w:r>
          </w:p>
          <w:p>
            <w:pPr>
              <w:jc w:val="left"/>
              <w:rPr>
                <w:rFonts w:asciiTheme="minorEastAsia" w:hAnsiTheme="minorEastAsia"/>
                <w:sz w:val="19"/>
                <w:szCs w:val="19"/>
              </w:rPr>
            </w:pPr>
            <w:r>
              <w:rPr>
                <w:rFonts w:hint="eastAsia" w:cs="宋体" w:asciiTheme="minorEastAsia" w:hAnsiTheme="minorEastAsia"/>
                <w:kern w:val="0"/>
                <w:sz w:val="19"/>
                <w:szCs w:val="19"/>
              </w:rPr>
              <w:t>《中华人民共和国安全生产法》</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第三十一条  矿山、金属冶炼建设项目和用于生产、储存、装卸危险物品的建设项目的施工单位必须按照批准的安全设施设计施工，并对安全设施的工程质量负责。</w:t>
            </w:r>
            <w:r>
              <w:rPr>
                <w:rFonts w:hint="eastAsia" w:cs="宋体" w:asciiTheme="minorEastAsia" w:hAnsiTheme="minorEastAsia"/>
                <w:kern w:val="0"/>
                <w:sz w:val="19"/>
                <w:szCs w:val="19"/>
              </w:rPr>
              <w:br w:type="textWrapping"/>
            </w:r>
            <w:r>
              <w:rPr>
                <w:rFonts w:hint="eastAsia" w:cs="宋体" w:asciiTheme="minorEastAsia" w:hAnsiTheme="minorEastAsia"/>
                <w:kern w:val="0"/>
                <w:sz w:val="19"/>
                <w:szCs w:val="19"/>
              </w:rPr>
              <w:t xml:space="preserve">    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tc>
        <w:tc>
          <w:tcPr>
            <w:tcW w:w="1276" w:type="dxa"/>
            <w:vAlign w:val="center"/>
          </w:tcPr>
          <w:p>
            <w:pPr>
              <w:jc w:val="center"/>
              <w:rPr>
                <w:rFonts w:asciiTheme="minorEastAsia" w:hAnsiTheme="minorEastAsia"/>
                <w:sz w:val="19"/>
                <w:szCs w:val="19"/>
              </w:rPr>
            </w:pPr>
            <w:r>
              <w:rPr>
                <w:rFonts w:hint="eastAsia" w:cs="宋体" w:asciiTheme="minorEastAsia" w:hAnsiTheme="minorEastAsia"/>
                <w:kern w:val="0"/>
                <w:sz w:val="19"/>
                <w:szCs w:val="19"/>
              </w:rPr>
              <w:t>建设矿井</w:t>
            </w:r>
          </w:p>
        </w:tc>
        <w:tc>
          <w:tcPr>
            <w:tcW w:w="1701" w:type="dxa"/>
            <w:vAlign w:val="center"/>
          </w:tcPr>
          <w:p>
            <w:pPr>
              <w:jc w:val="center"/>
              <w:rPr>
                <w:rFonts w:asciiTheme="minorEastAsia" w:hAnsiTheme="minorEastAsia"/>
                <w:sz w:val="19"/>
                <w:szCs w:val="19"/>
              </w:rPr>
            </w:pPr>
            <w:r>
              <w:rPr>
                <w:rFonts w:hint="eastAsia" w:asciiTheme="minorEastAsia" w:hAnsiTheme="minorEastAsia"/>
                <w:sz w:val="19"/>
                <w:szCs w:val="19"/>
              </w:rPr>
              <w:t>37（动态调整）</w:t>
            </w:r>
          </w:p>
        </w:tc>
        <w:tc>
          <w:tcPr>
            <w:tcW w:w="1276" w:type="dxa"/>
            <w:vAlign w:val="center"/>
          </w:tcPr>
          <w:p>
            <w:pPr>
              <w:jc w:val="center"/>
              <w:rPr>
                <w:rFonts w:asciiTheme="minorEastAsia" w:hAnsiTheme="minorEastAsia"/>
                <w:sz w:val="19"/>
                <w:szCs w:val="19"/>
              </w:rPr>
            </w:pPr>
            <w:r>
              <w:rPr>
                <w:rFonts w:hint="eastAsia" w:asciiTheme="minorEastAsia" w:hAnsiTheme="minorEastAsia"/>
                <w:sz w:val="19"/>
                <w:szCs w:val="19"/>
              </w:rPr>
              <w:t>100%</w:t>
            </w:r>
          </w:p>
        </w:tc>
        <w:tc>
          <w:tcPr>
            <w:tcW w:w="1275" w:type="dxa"/>
            <w:vAlign w:val="center"/>
          </w:tcPr>
          <w:p>
            <w:pPr>
              <w:jc w:val="center"/>
              <w:rPr>
                <w:rFonts w:asciiTheme="minorEastAsia" w:hAnsiTheme="minorEastAsia"/>
                <w:sz w:val="19"/>
                <w:szCs w:val="19"/>
              </w:rPr>
            </w:pPr>
            <w:r>
              <w:rPr>
                <w:rFonts w:hint="eastAsia" w:asciiTheme="minorEastAsia" w:hAnsiTheme="minorEastAsia"/>
                <w:sz w:val="19"/>
                <w:szCs w:val="19"/>
              </w:rPr>
              <w:t>1年</w:t>
            </w:r>
          </w:p>
        </w:tc>
        <w:tc>
          <w:tcPr>
            <w:tcW w:w="1276" w:type="dxa"/>
            <w:vAlign w:val="center"/>
          </w:tcPr>
          <w:p>
            <w:pPr>
              <w:spacing w:after="180"/>
              <w:rPr>
                <w:rFonts w:asciiTheme="minorEastAsia" w:hAnsiTheme="minorEastAsia"/>
                <w:sz w:val="19"/>
                <w:szCs w:val="19"/>
              </w:rPr>
            </w:pPr>
            <w:r>
              <w:rPr>
                <w:rFonts w:hint="eastAsia" w:asciiTheme="minorEastAsia" w:hAnsiTheme="minorEastAsia"/>
                <w:sz w:val="19"/>
                <w:szCs w:val="19"/>
              </w:rPr>
              <w:t>现场检查</w:t>
            </w:r>
            <w:r>
              <w:rPr>
                <w:rFonts w:ascii="Helvetica" w:hAnsi="Helvetica" w:eastAsia="宋体" w:cs="宋体"/>
                <w:color w:val="333333"/>
                <w:kern w:val="0"/>
                <w:szCs w:val="21"/>
              </w:rPr>
              <w:t>、</w:t>
            </w:r>
            <w:r>
              <w:rPr>
                <w:rFonts w:asciiTheme="minorEastAsia" w:hAnsiTheme="minorEastAsia"/>
                <w:sz w:val="19"/>
                <w:szCs w:val="19"/>
              </w:rPr>
              <w:t>明查暗访及突击检查、专项检查</w:t>
            </w:r>
          </w:p>
        </w:tc>
        <w:tc>
          <w:tcPr>
            <w:tcW w:w="1229" w:type="dxa"/>
            <w:vAlign w:val="center"/>
          </w:tcPr>
          <w:p>
            <w:pPr>
              <w:jc w:val="center"/>
              <w:rPr>
                <w:rFonts w:asciiTheme="minorEastAsia" w:hAnsiTheme="minorEastAsia"/>
                <w:sz w:val="19"/>
                <w:szCs w:val="19"/>
              </w:rPr>
            </w:pPr>
            <w:r>
              <w:rPr>
                <w:rFonts w:hint="eastAsia" w:asciiTheme="minorEastAsia" w:hAnsiTheme="minorEastAsia"/>
                <w:sz w:val="19"/>
                <w:szCs w:val="19"/>
                <w:lang w:eastAsia="zh-CN"/>
              </w:rPr>
              <w:t>国家矿山安全监察局陕西局</w:t>
            </w:r>
            <w:bookmarkStart w:id="0" w:name="_GoBack"/>
            <w:bookmarkEnd w:id="0"/>
          </w:p>
        </w:tc>
      </w:tr>
    </w:tbl>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Liberation Sans">
    <w:panose1 w:val="020B0604020202020204"/>
    <w:charset w:val="00"/>
    <w:family w:val="auto"/>
    <w:pitch w:val="default"/>
    <w:sig w:usb0="A00002AF" w:usb1="5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81"/>
    <w:rsid w:val="00017AFF"/>
    <w:rsid w:val="0006344F"/>
    <w:rsid w:val="00096098"/>
    <w:rsid w:val="000F51F3"/>
    <w:rsid w:val="001324A1"/>
    <w:rsid w:val="001F28EB"/>
    <w:rsid w:val="00321E6A"/>
    <w:rsid w:val="00487B6C"/>
    <w:rsid w:val="004A7720"/>
    <w:rsid w:val="00576896"/>
    <w:rsid w:val="00583447"/>
    <w:rsid w:val="005921B8"/>
    <w:rsid w:val="005E5BA5"/>
    <w:rsid w:val="006A3D81"/>
    <w:rsid w:val="006D290A"/>
    <w:rsid w:val="00751D38"/>
    <w:rsid w:val="0078398A"/>
    <w:rsid w:val="007D3622"/>
    <w:rsid w:val="007D4A50"/>
    <w:rsid w:val="008A129A"/>
    <w:rsid w:val="009561AF"/>
    <w:rsid w:val="00971314"/>
    <w:rsid w:val="009F28CC"/>
    <w:rsid w:val="00AD39E7"/>
    <w:rsid w:val="00AF34A2"/>
    <w:rsid w:val="00BD4847"/>
    <w:rsid w:val="00BF2D93"/>
    <w:rsid w:val="00C84456"/>
    <w:rsid w:val="00CC65EC"/>
    <w:rsid w:val="00D02488"/>
    <w:rsid w:val="00D47284"/>
    <w:rsid w:val="00DB3690"/>
    <w:rsid w:val="00DD423F"/>
    <w:rsid w:val="00E872AE"/>
    <w:rsid w:val="00F0134A"/>
    <w:rsid w:val="00F42432"/>
    <w:rsid w:val="EFFEA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215</Words>
  <Characters>1226</Characters>
  <Lines>10</Lines>
  <Paragraphs>2</Paragraphs>
  <TotalTime>0</TotalTime>
  <ScaleCrop>false</ScaleCrop>
  <LinksUpToDate>false</LinksUpToDate>
  <CharactersWithSpaces>1439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2021-10-28T15:55:00Z</dcterms:created>
  <dc:creator>孙佟</dc:creator>
  <cp:lastModifiedBy>kylin</cp:lastModifiedBy>
  <cp:lastPrinted>2021-11-02T09:32:00Z</cp:lastPrinted>
  <dcterms:modified xsi:type="dcterms:W3CDTF">2022-12-14T10:27:33Z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