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74653B">
      <w:pPr>
        <w:keepNext w:val="0"/>
        <w:keepLines w:val="0"/>
        <w:pageBreakBefore w:val="0"/>
        <w:kinsoku/>
        <w:wordWrap/>
        <w:topLinePunct w:val="0"/>
        <w:bidi w:val="0"/>
        <w:spacing w:line="560" w:lineRule="exact"/>
        <w:jc w:val="center"/>
        <w:rPr>
          <w:rFonts w:hint="eastAsia" w:ascii="方正小标宋简体" w:hAnsi="方正小标宋简体" w:eastAsia="方正小标宋简体" w:cs="方正小标宋简体"/>
          <w:sz w:val="44"/>
          <w:szCs w:val="44"/>
        </w:rPr>
      </w:pPr>
    </w:p>
    <w:p w14:paraId="3E6E5740">
      <w:pPr>
        <w:keepNext w:val="0"/>
        <w:keepLines w:val="0"/>
        <w:pageBreakBefore w:val="0"/>
        <w:kinsoku/>
        <w:wordWrap/>
        <w:topLinePunct w:val="0"/>
        <w:bidi w:val="0"/>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韩城市枣庄实业有限公司</w:t>
      </w:r>
    </w:p>
    <w:p w14:paraId="648E81EE">
      <w:pPr>
        <w:keepNext w:val="0"/>
        <w:keepLines w:val="0"/>
        <w:pageBreakBefore w:val="0"/>
        <w:kinsoku/>
        <w:wordWrap/>
        <w:topLinePunct w:val="0"/>
        <w:bidi w:val="0"/>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“12·16”一般迟报其他事故防范和整改措施</w:t>
      </w:r>
    </w:p>
    <w:p w14:paraId="1C1425D2">
      <w:pPr>
        <w:keepNext w:val="0"/>
        <w:keepLines w:val="0"/>
        <w:pageBreakBefore w:val="0"/>
        <w:kinsoku/>
        <w:wordWrap/>
        <w:topLinePunct w:val="0"/>
        <w:bidi w:val="0"/>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落实情况评估报告</w:t>
      </w:r>
    </w:p>
    <w:p w14:paraId="31673672">
      <w:pPr>
        <w:keepNext w:val="0"/>
        <w:keepLines w:val="0"/>
        <w:pageBreakBefore w:val="0"/>
        <w:kinsoku/>
        <w:wordWrap/>
        <w:topLinePunct w:val="0"/>
        <w:bidi w:val="0"/>
        <w:adjustRightInd w:val="0"/>
        <w:snapToGrid w:val="0"/>
        <w:spacing w:line="560" w:lineRule="exact"/>
        <w:ind w:firstLine="594" w:firstLineChars="200"/>
        <w:rPr>
          <w:rFonts w:ascii="仿宋_GB2312" w:hAnsi="仿宋_GB2312" w:eastAsia="仿宋_GB2312" w:cs="仿宋_GB2312"/>
          <w:szCs w:val="32"/>
        </w:rPr>
      </w:pPr>
    </w:p>
    <w:p w14:paraId="48E88000">
      <w:pPr>
        <w:keepNext w:val="0"/>
        <w:keepLines w:val="0"/>
        <w:pageBreakBefore w:val="0"/>
        <w:kinsoku/>
        <w:wordWrap/>
        <w:overflowPunct w:val="0"/>
        <w:topLinePunct w:val="0"/>
        <w:bidi w:val="0"/>
        <w:adjustRightInd w:val="0"/>
        <w:snapToGrid w:val="0"/>
        <w:spacing w:line="560" w:lineRule="exact"/>
        <w:ind w:firstLine="594" w:firstLineChars="200"/>
        <w:jc w:val="left"/>
        <w:textAlignment w:val="baseline"/>
        <w:rPr>
          <w:rFonts w:ascii="仿宋_GB2312" w:hAnsi="仿宋_GB2312" w:eastAsia="仿宋_GB2312" w:cs="仿宋_GB2312"/>
          <w:szCs w:val="32"/>
        </w:rPr>
      </w:pPr>
      <w:r>
        <w:rPr>
          <w:rFonts w:hint="eastAsia" w:ascii="仿宋_GB2312" w:hAnsi="仿宋_GB2312" w:eastAsia="仿宋_GB2312" w:cs="仿宋_GB2312"/>
          <w:szCs w:val="32"/>
        </w:rPr>
        <w:t>2024年12月16日16时20分左右</w:t>
      </w:r>
      <w:r>
        <w:rPr>
          <w:rFonts w:hint="eastAsia" w:ascii="仿宋_GB2312" w:hAnsi="仿宋_GB2312" w:eastAsia="仿宋_GB2312" w:cs="仿宋_GB2312"/>
          <w:szCs w:val="32"/>
          <w:lang w:eastAsia="zh-CN"/>
        </w:rPr>
        <w:t>，</w:t>
      </w:r>
      <w:r>
        <w:rPr>
          <w:rFonts w:hint="eastAsia" w:ascii="仿宋_GB2312" w:hAnsi="仿宋_GB2312" w:eastAsia="仿宋_GB2312" w:cs="仿宋_GB2312"/>
          <w:szCs w:val="32"/>
        </w:rPr>
        <w:t>韩城市枣庄实业有限公司桑北煤矿</w:t>
      </w:r>
      <w:r>
        <w:rPr>
          <w:rFonts w:hint="eastAsia" w:ascii="仿宋_GB2312" w:hAnsi="仿宋_GB2312" w:eastAsia="仿宋_GB2312" w:cs="仿宋_GB2312"/>
          <w:szCs w:val="32"/>
          <w:lang w:eastAsia="zh-CN"/>
        </w:rPr>
        <w:t>（以下简称“桑北煤矿”）</w:t>
      </w:r>
      <w:r>
        <w:rPr>
          <w:rFonts w:hint="eastAsia" w:ascii="仿宋_GB2312" w:hAnsi="仿宋_GB2312" w:eastAsia="仿宋_GB2312" w:cs="仿宋_GB2312"/>
          <w:szCs w:val="32"/>
        </w:rPr>
        <w:t>12302综放工作面运输顺槽胶带输送机机头处煤仓下口发生一起其他事故</w:t>
      </w:r>
      <w:r>
        <w:rPr>
          <w:rFonts w:hint="eastAsia" w:ascii="仿宋_GB2312" w:hAnsi="仿宋_GB2312" w:eastAsia="仿宋_GB2312" w:cs="仿宋_GB2312"/>
          <w:szCs w:val="32"/>
          <w:lang w:eastAsia="zh-CN"/>
        </w:rPr>
        <w:t>，</w:t>
      </w:r>
      <w:r>
        <w:rPr>
          <w:rFonts w:hint="eastAsia" w:ascii="仿宋_GB2312" w:hAnsi="仿宋_GB2312" w:eastAsia="仿宋_GB2312" w:cs="仿宋_GB2312"/>
          <w:szCs w:val="32"/>
        </w:rPr>
        <w:t>造成1人死亡</w:t>
      </w:r>
      <w:r>
        <w:rPr>
          <w:rFonts w:hint="eastAsia" w:ascii="仿宋_GB2312" w:hAnsi="仿宋_GB2312" w:eastAsia="仿宋_GB2312" w:cs="仿宋_GB2312"/>
          <w:szCs w:val="32"/>
          <w:lang w:eastAsia="zh-CN"/>
        </w:rPr>
        <w:t>，</w:t>
      </w:r>
      <w:r>
        <w:rPr>
          <w:rFonts w:hint="eastAsia" w:ascii="仿宋_GB2312" w:hAnsi="仿宋_GB2312" w:eastAsia="仿宋_GB2312" w:cs="仿宋_GB2312"/>
          <w:szCs w:val="32"/>
        </w:rPr>
        <w:t>直接经济损失165.7万元。</w:t>
      </w:r>
      <w:r>
        <w:rPr>
          <w:rFonts w:hint="eastAsia" w:ascii="仿宋_GB2312" w:hAnsi="仿宋_GB2312" w:eastAsia="仿宋_GB2312" w:cs="仿宋_GB2312"/>
          <w:spacing w:val="4"/>
          <w:kern w:val="0"/>
          <w:szCs w:val="32"/>
        </w:rPr>
        <w:t>事故发生后，</w:t>
      </w:r>
      <w:r>
        <w:rPr>
          <w:rFonts w:hint="eastAsia" w:ascii="仿宋_GB2312" w:hAnsi="仿宋_GB2312" w:eastAsia="仿宋_GB2312" w:cs="仿宋_GB2312"/>
          <w:szCs w:val="32"/>
        </w:rPr>
        <w:t>国家矿山安全监察局陕西局</w:t>
      </w:r>
      <w:r>
        <w:rPr>
          <w:rFonts w:hint="eastAsia" w:ascii="仿宋_GB2312" w:hAnsi="仿宋_GB2312" w:eastAsia="仿宋_GB2312" w:cs="仿宋_GB2312"/>
          <w:szCs w:val="32"/>
          <w:lang w:eastAsia="zh-CN"/>
        </w:rPr>
        <w:t>（</w:t>
      </w:r>
      <w:r>
        <w:rPr>
          <w:rFonts w:hint="eastAsia" w:ascii="仿宋_GB2312" w:hAnsi="仿宋_GB2312" w:eastAsia="仿宋_GB2312" w:cs="仿宋_GB2312"/>
          <w:szCs w:val="32"/>
          <w:lang w:val="en-US" w:eastAsia="zh-CN"/>
        </w:rPr>
        <w:t>以下</w:t>
      </w:r>
      <w:r>
        <w:rPr>
          <w:rFonts w:hint="eastAsia" w:ascii="仿宋_GB2312" w:hAnsi="仿宋_GB2312" w:eastAsia="仿宋_GB2312" w:cs="仿宋_GB2312"/>
          <w:szCs w:val="32"/>
        </w:rPr>
        <w:t>简称“陕西局”</w:t>
      </w:r>
      <w:r>
        <w:rPr>
          <w:rFonts w:hint="eastAsia" w:ascii="仿宋_GB2312" w:hAnsi="仿宋_GB2312" w:eastAsia="仿宋_GB2312" w:cs="仿宋_GB2312"/>
          <w:szCs w:val="32"/>
          <w:lang w:eastAsia="zh-CN"/>
        </w:rPr>
        <w:t>）</w:t>
      </w:r>
      <w:r>
        <w:rPr>
          <w:rFonts w:hint="eastAsia" w:ascii="仿宋_GB2312" w:hAnsi="仿宋_GB2312" w:eastAsia="仿宋_GB2312" w:cs="仿宋_GB2312"/>
          <w:szCs w:val="32"/>
        </w:rPr>
        <w:t>牵头组织渭南市应急管理局、韩城市人民政府及市应急管理局、市发展和改革委员会、市公安局、市总工会成立桑北煤矿“12·16”一般其他事故调查组，同时邀请韩城市纪委监委介入</w:t>
      </w:r>
      <w:r>
        <w:rPr>
          <w:rFonts w:hint="eastAsia" w:ascii="仿宋_GB2312" w:hAnsi="仿宋_GB2312" w:eastAsia="仿宋_GB2312" w:cs="仿宋_GB2312"/>
          <w:szCs w:val="32"/>
          <w:lang w:eastAsia="zh-CN"/>
        </w:rPr>
        <w:t>，</w:t>
      </w:r>
      <w:r>
        <w:rPr>
          <w:rFonts w:hint="eastAsia" w:ascii="仿宋_GB2312" w:hAnsi="仿宋_GB2312" w:eastAsia="仿宋_GB2312" w:cs="仿宋_GB2312"/>
          <w:szCs w:val="24"/>
        </w:rPr>
        <w:t>对该起事故展开调查。</w:t>
      </w:r>
      <w:r>
        <w:rPr>
          <w:rFonts w:hint="eastAsia" w:ascii="仿宋_GB2312" w:hAnsi="仿宋_GB2312" w:eastAsia="仿宋_GB2312" w:cs="仿宋_GB2312"/>
          <w:szCs w:val="32"/>
        </w:rPr>
        <w:t>2</w:t>
      </w:r>
      <w:r>
        <w:rPr>
          <w:rFonts w:hint="eastAsia" w:ascii="仿宋_GB2312" w:hAnsi="仿宋_GB2312" w:eastAsia="仿宋_GB2312" w:cs="仿宋_GB2312"/>
          <w:spacing w:val="4"/>
          <w:kern w:val="0"/>
          <w:szCs w:val="32"/>
        </w:rPr>
        <w:t>025年1月26日，</w:t>
      </w:r>
      <w:r>
        <w:rPr>
          <w:rFonts w:hint="eastAsia" w:ascii="仿宋_GB2312" w:hAnsi="仿宋_GB2312" w:eastAsia="仿宋_GB2312" w:cs="仿宋_GB2312"/>
          <w:kern w:val="0"/>
          <w:szCs w:val="32"/>
          <w:shd w:val="clear" w:color="080000" w:fill="FFFFFF"/>
        </w:rPr>
        <w:t>陕西局</w:t>
      </w:r>
      <w:r>
        <w:rPr>
          <w:rFonts w:hint="eastAsia" w:ascii="仿宋_GB2312" w:hAnsi="仿宋_GB2312" w:eastAsia="仿宋_GB2312" w:cs="仿宋_GB2312"/>
          <w:spacing w:val="4"/>
          <w:kern w:val="0"/>
          <w:szCs w:val="32"/>
        </w:rPr>
        <w:t>对该起事故</w:t>
      </w:r>
      <w:r>
        <w:rPr>
          <w:rFonts w:hint="eastAsia" w:ascii="仿宋_GB2312" w:hAnsi="仿宋_GB2312" w:eastAsia="仿宋_GB2312" w:cs="仿宋_GB2312"/>
          <w:szCs w:val="32"/>
        </w:rPr>
        <w:t>予以批复结案。</w:t>
      </w:r>
    </w:p>
    <w:p w14:paraId="5B9F6992">
      <w:pPr>
        <w:keepNext w:val="0"/>
        <w:keepLines w:val="0"/>
        <w:pageBreakBefore w:val="0"/>
        <w:kinsoku/>
        <w:wordWrap/>
        <w:overflowPunct w:val="0"/>
        <w:topLinePunct w:val="0"/>
        <w:bidi w:val="0"/>
        <w:adjustRightInd w:val="0"/>
        <w:snapToGrid w:val="0"/>
        <w:spacing w:line="560" w:lineRule="exact"/>
        <w:ind w:firstLine="594" w:firstLineChars="200"/>
        <w:jc w:val="left"/>
        <w:textAlignment w:val="baseline"/>
        <w:rPr>
          <w:rFonts w:ascii="仿宋_GB2312" w:hAnsi="仿宋_GB2312" w:eastAsia="仿宋_GB2312" w:cs="仿宋_GB2312"/>
          <w:szCs w:val="32"/>
        </w:rPr>
      </w:pPr>
      <w:r>
        <w:rPr>
          <w:rFonts w:hint="eastAsia" w:ascii="仿宋_GB2312" w:hAnsi="仿宋_GB2312" w:eastAsia="仿宋_GB2312" w:cs="仿宋_GB2312"/>
          <w:szCs w:val="32"/>
        </w:rPr>
        <w:t>按照《中华人民共和国安全生产法》《生产安全事故报告和调查处理条例》</w:t>
      </w:r>
      <w:r>
        <w:rPr>
          <w:rFonts w:hint="eastAsia" w:ascii="仿宋_GB2312" w:hAnsi="仿宋_GB2312" w:eastAsia="仿宋_GB2312" w:cs="仿宋_GB2312"/>
          <w:szCs w:val="24"/>
        </w:rPr>
        <w:t>《煤矿安全生产条例》《矿山生产安全事故报告和调查处理办法》等有关规定，</w:t>
      </w:r>
      <w:r>
        <w:rPr>
          <w:rFonts w:hint="eastAsia" w:ascii="仿宋_GB2312" w:hAnsi="仿宋_GB2312" w:eastAsia="仿宋_GB2312" w:cs="仿宋_GB2312"/>
          <w:szCs w:val="32"/>
        </w:rPr>
        <w:t>2025年11月20日至21日，陕西局组织原参加事故调查的单位成立评估工作组，对桑北煤矿“12·16”一般迟报其他事故防范和整改措施落实情况开展现场评估。</w:t>
      </w:r>
      <w:r>
        <w:rPr>
          <w:rFonts w:hint="eastAsia" w:ascii="仿宋_GB2312" w:hAnsi="仿宋_GB2312" w:eastAsia="仿宋_GB2312" w:cs="仿宋_GB2312"/>
          <w:szCs w:val="24"/>
        </w:rPr>
        <w:t>同时，邀请</w:t>
      </w:r>
      <w:r>
        <w:rPr>
          <w:rFonts w:hint="eastAsia" w:ascii="仿宋_GB2312" w:hAnsi="仿宋_GB2312" w:eastAsia="仿宋_GB2312" w:cs="仿宋_GB2312"/>
          <w:szCs w:val="32"/>
        </w:rPr>
        <w:t>韩城市</w:t>
      </w:r>
      <w:r>
        <w:rPr>
          <w:rFonts w:hint="eastAsia" w:ascii="仿宋_GB2312" w:hAnsi="仿宋_GB2312" w:eastAsia="仿宋_GB2312" w:cs="仿宋_GB2312"/>
          <w:szCs w:val="24"/>
        </w:rPr>
        <w:t>纪委监委</w:t>
      </w:r>
      <w:r>
        <w:rPr>
          <w:rFonts w:hint="eastAsia" w:ascii="仿宋_GB2312" w:hAnsi="仿宋_GB2312" w:eastAsia="仿宋_GB2312" w:cs="仿宋_GB2312"/>
          <w:szCs w:val="32"/>
        </w:rPr>
        <w:t>派员参加，同步对事故有关责任单位及责任人员责任追究建议落实情况进行评估，现将有关情况报告如下：</w:t>
      </w:r>
    </w:p>
    <w:p w14:paraId="5FDB4680">
      <w:pPr>
        <w:keepNext w:val="0"/>
        <w:keepLines w:val="0"/>
        <w:pageBreakBefore w:val="0"/>
        <w:kinsoku/>
        <w:wordWrap/>
        <w:topLinePunct w:val="0"/>
        <w:bidi w:val="0"/>
        <w:adjustRightInd w:val="0"/>
        <w:snapToGrid w:val="0"/>
        <w:spacing w:line="560" w:lineRule="exact"/>
        <w:ind w:firstLine="594" w:firstLineChars="200"/>
        <w:rPr>
          <w:rFonts w:ascii="黑体" w:hAnsi="黑体" w:eastAsia="黑体" w:cs="黑体"/>
          <w:szCs w:val="32"/>
        </w:rPr>
      </w:pPr>
      <w:r>
        <w:rPr>
          <w:rFonts w:hint="eastAsia" w:ascii="黑体" w:hAnsi="黑体" w:eastAsia="黑体" w:cs="黑体"/>
          <w:szCs w:val="32"/>
        </w:rPr>
        <w:t>一、评估工作过程</w:t>
      </w:r>
    </w:p>
    <w:p w14:paraId="7B4AC5FA">
      <w:pPr>
        <w:keepNext w:val="0"/>
        <w:keepLines w:val="0"/>
        <w:pageBreakBefore w:val="0"/>
        <w:kinsoku/>
        <w:wordWrap/>
        <w:topLinePunct w:val="0"/>
        <w:bidi w:val="0"/>
        <w:adjustRightInd w:val="0"/>
        <w:snapToGrid w:val="0"/>
        <w:spacing w:line="560" w:lineRule="exact"/>
        <w:ind w:firstLine="594" w:firstLineChars="200"/>
        <w:rPr>
          <w:rFonts w:ascii="仿宋_GB2312" w:hAnsi="仿宋_GB2312" w:eastAsia="仿宋_GB2312" w:cs="仿宋_GB2312"/>
          <w:szCs w:val="32"/>
        </w:rPr>
      </w:pPr>
      <w:r>
        <w:rPr>
          <w:rFonts w:hint="eastAsia" w:ascii="仿宋_GB2312" w:hAnsi="仿宋_GB2312" w:eastAsia="仿宋_GB2312" w:cs="仿宋_GB2312"/>
          <w:szCs w:val="32"/>
        </w:rPr>
        <w:t>评估工作组分别听取桑北煤矿、韩城市人民政府关于桑北煤矿“12·16”一般迟报其他事故防范和整改措施落实情况汇报后，按照评估工作方案，采取资料审查、座谈问询、查阅文件等方式，对事故责任单位和责任人员行政处罚建议落实情况、地方政府及其相关部门处理意见和有关公职人员责任追究情况进行了评估。形成了评估意见，指出了存在的问题及工作建议。</w:t>
      </w:r>
    </w:p>
    <w:p w14:paraId="258CFBA4">
      <w:pPr>
        <w:pStyle w:val="9"/>
        <w:keepNext w:val="0"/>
        <w:keepLines w:val="0"/>
        <w:pageBreakBefore w:val="0"/>
        <w:kinsoku/>
        <w:wordWrap/>
        <w:topLinePunct w:val="0"/>
        <w:bidi w:val="0"/>
        <w:snapToGrid w:val="0"/>
        <w:spacing w:line="560" w:lineRule="exact"/>
        <w:ind w:firstLine="594" w:firstLineChars="200"/>
        <w:jc w:val="both"/>
        <w:rPr>
          <w:rFonts w:ascii="黑体" w:hAnsi="黑体" w:eastAsia="黑体" w:cs="黑体"/>
          <w:color w:val="auto"/>
          <w:sz w:val="32"/>
          <w:szCs w:val="32"/>
        </w:rPr>
      </w:pPr>
      <w:r>
        <w:rPr>
          <w:rFonts w:hint="eastAsia" w:ascii="黑体" w:hAnsi="黑体" w:eastAsia="黑体" w:cs="黑体"/>
          <w:color w:val="auto"/>
          <w:sz w:val="32"/>
          <w:szCs w:val="32"/>
        </w:rPr>
        <w:t>二、重点评估内容</w:t>
      </w:r>
    </w:p>
    <w:p w14:paraId="1D507CDB">
      <w:pPr>
        <w:pStyle w:val="9"/>
        <w:keepNext w:val="0"/>
        <w:keepLines w:val="0"/>
        <w:pageBreakBefore w:val="0"/>
        <w:kinsoku/>
        <w:wordWrap/>
        <w:topLinePunct w:val="0"/>
        <w:bidi w:val="0"/>
        <w:snapToGrid w:val="0"/>
        <w:spacing w:line="560" w:lineRule="exact"/>
        <w:ind w:firstLine="594" w:firstLineChars="200"/>
        <w:jc w:val="both"/>
        <w:rPr>
          <w:rFonts w:ascii="楷体_GB2312" w:hAnsi="Times New Roman" w:eastAsia="楷体_GB2312"/>
          <w:color w:val="auto"/>
          <w:sz w:val="32"/>
          <w:szCs w:val="32"/>
        </w:rPr>
      </w:pPr>
      <w:r>
        <w:rPr>
          <w:rFonts w:hint="eastAsia" w:ascii="楷体_GB2312" w:hAnsi="Times New Roman" w:eastAsia="楷体_GB2312"/>
          <w:color w:val="auto"/>
          <w:sz w:val="32"/>
          <w:szCs w:val="32"/>
        </w:rPr>
        <w:t>（一）事故责任追究意见落实情况</w:t>
      </w:r>
    </w:p>
    <w:p w14:paraId="4B754083">
      <w:pPr>
        <w:keepNext w:val="0"/>
        <w:keepLines w:val="0"/>
        <w:pageBreakBefore w:val="0"/>
        <w:kinsoku/>
        <w:wordWrap/>
        <w:topLinePunct w:val="0"/>
        <w:bidi w:val="0"/>
        <w:adjustRightInd w:val="0"/>
        <w:snapToGrid w:val="0"/>
        <w:spacing w:line="560" w:lineRule="exact"/>
        <w:ind w:firstLine="594" w:firstLineChars="200"/>
        <w:rPr>
          <w:rFonts w:ascii="仿宋_GB2312" w:hAnsi="仿宋_GB2312" w:eastAsia="仿宋_GB2312" w:cs="仿宋_GB2312"/>
          <w:kern w:val="0"/>
          <w:szCs w:val="32"/>
          <w:shd w:val="clear" w:color="080000" w:fill="FFFFFF"/>
        </w:rPr>
      </w:pPr>
      <w:r>
        <w:rPr>
          <w:rFonts w:hint="eastAsia" w:ascii="仿宋_GB2312" w:hAnsi="仿宋_GB2312" w:eastAsia="仿宋_GB2312" w:cs="仿宋_GB2312"/>
          <w:b/>
          <w:bCs/>
          <w:szCs w:val="32"/>
        </w:rPr>
        <w:t>1.行政处罚落实情况。</w:t>
      </w:r>
      <w:r>
        <w:rPr>
          <w:rFonts w:hint="eastAsia" w:ascii="仿宋_GB2312" w:hAnsi="仿宋_GB2312" w:eastAsia="仿宋_GB2312" w:cs="仿宋_GB2312"/>
          <w:szCs w:val="32"/>
        </w:rPr>
        <w:t>2025年2月21日</w:t>
      </w:r>
      <w:r>
        <w:rPr>
          <w:rFonts w:hint="eastAsia" w:ascii="仿宋_GB2312" w:hAnsi="仿宋_GB2312" w:eastAsia="仿宋_GB2312" w:cs="仿宋_GB2312"/>
          <w:szCs w:val="32"/>
          <w:lang w:eastAsia="zh-CN"/>
        </w:rPr>
        <w:t>—</w:t>
      </w:r>
      <w:r>
        <w:rPr>
          <w:rFonts w:hint="eastAsia" w:ascii="仿宋_GB2312" w:hAnsi="仿宋_GB2312" w:eastAsia="仿宋_GB2312" w:cs="仿宋_GB2312"/>
          <w:szCs w:val="32"/>
        </w:rPr>
        <w:t>24日，陕西局向桑北煤矿和11名责任人下达了行政处罚决定书（陕煤安监四罚〔2025〕15003号至15014号），合计罚款199.5628万元。截至2025年2月26日，行政罚款全部缴纳到位。</w:t>
      </w:r>
    </w:p>
    <w:p w14:paraId="3A29ABB9">
      <w:pPr>
        <w:pStyle w:val="2"/>
        <w:keepNext w:val="0"/>
        <w:keepLines w:val="0"/>
        <w:pageBreakBefore w:val="0"/>
        <w:kinsoku/>
        <w:wordWrap/>
        <w:topLinePunct w:val="0"/>
        <w:bidi w:val="0"/>
        <w:spacing w:after="0" w:line="560" w:lineRule="exact"/>
        <w:ind w:firstLine="594" w:firstLineChars="200"/>
        <w:rPr>
          <w:rFonts w:hint="eastAsia" w:ascii="仿宋_GB2312" w:hAnsi="仿宋_GB2312" w:eastAsia="仿宋_GB2312" w:cs="仿宋_GB2312"/>
          <w:color w:val="auto"/>
          <w:kern w:val="0"/>
          <w:sz w:val="32"/>
          <w:szCs w:val="32"/>
          <w:shd w:val="clear" w:color="080000" w:fill="FFFFFF"/>
          <w:lang w:val="en-US" w:eastAsia="zh-CN"/>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企业相关责任人处分落实情况。</w:t>
      </w:r>
      <w:r>
        <w:rPr>
          <w:rFonts w:hint="eastAsia" w:ascii="仿宋_GB2312" w:hAnsi="仿宋_GB2312" w:eastAsia="仿宋_GB2312" w:cs="仿宋_GB2312"/>
          <w:sz w:val="32"/>
          <w:szCs w:val="32"/>
        </w:rPr>
        <w:t>2024年12月20日，楚湘集团桑北煤矿以楚湘桑煤发〔2024〕152号文件</w:t>
      </w:r>
      <w:r>
        <w:rPr>
          <w:rFonts w:hint="eastAsia" w:ascii="仿宋_GB2312" w:hAnsi="仿宋_GB2312" w:eastAsia="仿宋_GB2312" w:cs="仿宋_GB2312"/>
          <w:sz w:val="32"/>
          <w:szCs w:val="32"/>
          <w:lang w:eastAsia="zh-CN"/>
        </w:rPr>
        <w:t>同</w:t>
      </w:r>
      <w:r>
        <w:rPr>
          <w:rFonts w:hint="eastAsia" w:ascii="仿宋_GB2312" w:hAnsi="仿宋_GB2312" w:eastAsia="仿宋_GB2312" w:cs="仿宋_GB2312"/>
          <w:sz w:val="32"/>
          <w:szCs w:val="32"/>
        </w:rPr>
        <w:t>采煤二队当班班长解除劳动合同，</w:t>
      </w:r>
      <w:r>
        <w:rPr>
          <w:rFonts w:hint="eastAsia" w:ascii="仿宋_GB2312" w:hAnsi="仿宋_GB2312" w:eastAsia="仿宋_GB2312" w:cs="仿宋_GB2312"/>
          <w:sz w:val="32"/>
          <w:szCs w:val="32"/>
          <w:lang w:eastAsia="zh-CN"/>
        </w:rPr>
        <w:t>并给予</w:t>
      </w:r>
      <w:r>
        <w:rPr>
          <w:rFonts w:hint="eastAsia" w:ascii="仿宋_GB2312" w:hAnsi="仿宋_GB2312" w:eastAsia="仿宋_GB2312" w:cs="仿宋_GB2312"/>
          <w:sz w:val="32"/>
          <w:szCs w:val="32"/>
        </w:rPr>
        <w:t>采煤二队事故当班跟班副队长</w:t>
      </w:r>
      <w:r>
        <w:rPr>
          <w:rFonts w:hint="eastAsia" w:ascii="仿宋_GB2312" w:hAnsi="仿宋_GB2312" w:eastAsia="仿宋_GB2312" w:cs="仿宋_GB2312"/>
          <w:sz w:val="32"/>
          <w:szCs w:val="32"/>
          <w:lang w:eastAsia="zh-CN"/>
        </w:rPr>
        <w:t>、采煤</w:t>
      </w:r>
      <w:r>
        <w:rPr>
          <w:rFonts w:hint="eastAsia" w:ascii="仿宋_GB2312" w:hAnsi="仿宋_GB2312" w:eastAsia="仿宋_GB2312" w:cs="仿宋_GB2312"/>
          <w:sz w:val="32"/>
          <w:szCs w:val="32"/>
        </w:rPr>
        <w:t>二队技术员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采煤二队队长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调度中心主任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生产技术部部长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安全监察部副部长</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color w:val="auto"/>
          <w:kern w:val="0"/>
          <w:sz w:val="32"/>
          <w:szCs w:val="32"/>
          <w:shd w:val="clear" w:color="080000" w:fill="FFFFFF"/>
          <w:lang w:val="en-US" w:eastAsia="zh-CN"/>
        </w:rPr>
        <w:t>名责任人员的党纪政务处分。</w:t>
      </w:r>
    </w:p>
    <w:p w14:paraId="2BC95A11">
      <w:pPr>
        <w:pStyle w:val="2"/>
        <w:keepNext w:val="0"/>
        <w:keepLines w:val="0"/>
        <w:pageBreakBefore w:val="0"/>
        <w:kinsoku/>
        <w:wordWrap/>
        <w:topLinePunct w:val="0"/>
        <w:bidi w:val="0"/>
        <w:spacing w:after="0" w:line="560" w:lineRule="exact"/>
        <w:ind w:firstLine="594" w:firstLineChars="200"/>
        <w:rPr>
          <w:rFonts w:hint="eastAsia" w:ascii="仿宋_GB2312" w:hAnsi="仿宋_GB2312" w:eastAsia="仿宋_GB2312" w:cs="仿宋_GB2312"/>
          <w:color w:val="auto"/>
          <w:kern w:val="0"/>
          <w:sz w:val="32"/>
          <w:szCs w:val="32"/>
          <w:shd w:val="clear" w:color="080000" w:fill="FFFFFF"/>
          <w:lang w:val="en-US" w:eastAsia="zh-CN"/>
        </w:rPr>
      </w:pPr>
      <w:r>
        <w:rPr>
          <w:rFonts w:hint="eastAsia" w:ascii="仿宋_GB2312" w:hAnsi="仿宋_GB2312" w:eastAsia="仿宋_GB2312" w:cs="仿宋_GB2312"/>
          <w:sz w:val="32"/>
          <w:szCs w:val="32"/>
        </w:rPr>
        <w:t>2025年2月14日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湖南楚湘建设工程集团以楚湘集办〔2025〕25号文件给予桑北煤矿安全副矿长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生产副矿长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矿长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驻桑北煤矿安全专员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安全管理部副部长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驻西安安全监察站站长</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color w:val="auto"/>
          <w:kern w:val="0"/>
          <w:sz w:val="32"/>
          <w:szCs w:val="32"/>
          <w:shd w:val="clear" w:color="080000" w:fill="FFFFFF"/>
          <w:lang w:val="en-US" w:eastAsia="zh-CN"/>
        </w:rPr>
        <w:t>名责任人员的党纪政务处分。</w:t>
      </w:r>
    </w:p>
    <w:p w14:paraId="5A2254E1">
      <w:pPr>
        <w:pStyle w:val="2"/>
        <w:keepNext w:val="0"/>
        <w:keepLines w:val="0"/>
        <w:pageBreakBefore w:val="0"/>
        <w:kinsoku/>
        <w:wordWrap/>
        <w:topLinePunct w:val="0"/>
        <w:bidi w:val="0"/>
        <w:spacing w:after="0" w:line="560" w:lineRule="exact"/>
        <w:ind w:firstLine="594"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2025年2月6日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陕西黄河矿业（集团）有限责任公司以陕黄矿集字〔2025〕6号文件给予黄河矿业集团副总经理</w:t>
      </w:r>
      <w:r>
        <w:rPr>
          <w:rFonts w:hint="eastAsia" w:ascii="仿宋_GB2312" w:hAnsi="仿宋_GB2312" w:eastAsia="仿宋_GB2312" w:cs="仿宋_GB2312"/>
          <w:color w:val="auto"/>
          <w:kern w:val="0"/>
          <w:sz w:val="32"/>
          <w:szCs w:val="32"/>
          <w:shd w:val="clear" w:color="080000" w:fill="FFFFFF"/>
          <w:lang w:val="en-US" w:eastAsia="zh-CN"/>
        </w:rPr>
        <w:t>党纪政务处分</w:t>
      </w:r>
      <w:r>
        <w:rPr>
          <w:rFonts w:hint="eastAsia" w:ascii="仿宋_GB2312" w:hAnsi="仿宋_GB2312" w:eastAsia="仿宋_GB2312" w:cs="仿宋_GB2312"/>
          <w:sz w:val="32"/>
          <w:szCs w:val="32"/>
        </w:rPr>
        <w:t>。</w:t>
      </w:r>
    </w:p>
    <w:p w14:paraId="34DF7B48">
      <w:pPr>
        <w:pStyle w:val="10"/>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94"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szCs w:val="32"/>
        </w:rPr>
        <w:t>3.相关公职人员处分落实情况。</w:t>
      </w:r>
      <w:r>
        <w:rPr>
          <w:rFonts w:hint="eastAsia" w:ascii="仿宋_GB2312" w:hAnsi="仿宋_GB2312" w:eastAsia="仿宋_GB2312" w:cs="仿宋_GB2312"/>
          <w:i w:val="0"/>
          <w:iCs w:val="0"/>
          <w:color w:val="auto"/>
          <w:kern w:val="2"/>
          <w:sz w:val="32"/>
          <w:szCs w:val="32"/>
          <w:lang w:val="en-US" w:eastAsia="zh-CN" w:bidi="ar-SA"/>
        </w:rPr>
        <w:t>2025年3月21日，</w:t>
      </w:r>
      <w:r>
        <w:rPr>
          <w:rFonts w:hint="eastAsia" w:ascii="仿宋_GB2312" w:hAnsi="仿宋_GB2312" w:eastAsia="仿宋_GB2312" w:cs="仿宋_GB2312"/>
          <w:kern w:val="0"/>
          <w:szCs w:val="32"/>
          <w:shd w:val="clear" w:color="080000" w:fill="FFFFFF"/>
        </w:rPr>
        <w:t>韩城市监察委员会</w:t>
      </w:r>
      <w:r>
        <w:rPr>
          <w:rFonts w:hint="eastAsia" w:ascii="仿宋_GB2312" w:hAnsi="仿宋_GB2312" w:eastAsia="仿宋_GB2312" w:cs="仿宋_GB2312"/>
          <w:kern w:val="0"/>
          <w:szCs w:val="32"/>
          <w:shd w:val="clear" w:color="080000" w:fill="FFFFFF"/>
          <w:lang w:eastAsia="zh-CN"/>
        </w:rPr>
        <w:t>分别以</w:t>
      </w:r>
      <w:r>
        <w:rPr>
          <w:rFonts w:hint="eastAsia" w:ascii="仿宋_GB2312" w:hAnsi="仿宋_GB2312" w:eastAsia="仿宋_GB2312" w:cs="仿宋_GB2312"/>
          <w:kern w:val="0"/>
          <w:szCs w:val="32"/>
          <w:shd w:val="clear" w:color="080000" w:fill="FFFFFF"/>
        </w:rPr>
        <w:t>韩监〔2025〕16号</w:t>
      </w:r>
      <w:r>
        <w:rPr>
          <w:rFonts w:hint="eastAsia" w:ascii="仿宋_GB2312" w:hAnsi="仿宋_GB2312" w:eastAsia="仿宋_GB2312" w:cs="仿宋_GB2312"/>
          <w:kern w:val="0"/>
          <w:szCs w:val="32"/>
          <w:shd w:val="clear" w:color="080000" w:fill="FFFFFF"/>
          <w:lang w:eastAsia="zh-CN"/>
        </w:rPr>
        <w:t>、</w:t>
      </w:r>
      <w:r>
        <w:rPr>
          <w:rFonts w:hint="eastAsia" w:ascii="仿宋_GB2312" w:hAnsi="仿宋_GB2312" w:eastAsia="仿宋_GB2312" w:cs="仿宋_GB2312"/>
          <w:kern w:val="0"/>
          <w:szCs w:val="32"/>
          <w:shd w:val="clear" w:color="080000" w:fill="FFFFFF"/>
        </w:rPr>
        <w:t>17号</w:t>
      </w:r>
      <w:r>
        <w:rPr>
          <w:rFonts w:hint="eastAsia" w:ascii="仿宋_GB2312" w:hAnsi="仿宋_GB2312" w:eastAsia="仿宋_GB2312" w:cs="仿宋_GB2312"/>
          <w:kern w:val="0"/>
          <w:szCs w:val="32"/>
          <w:shd w:val="clear" w:color="080000" w:fill="FFFFFF"/>
          <w:lang w:eastAsia="zh-CN"/>
        </w:rPr>
        <w:t>、</w:t>
      </w:r>
      <w:r>
        <w:rPr>
          <w:rFonts w:hint="eastAsia" w:ascii="仿宋_GB2312" w:hAnsi="仿宋_GB2312" w:eastAsia="仿宋_GB2312" w:cs="仿宋_GB2312"/>
          <w:kern w:val="0"/>
          <w:szCs w:val="32"/>
          <w:shd w:val="clear" w:color="080000" w:fill="FFFFFF"/>
        </w:rPr>
        <w:t>18号</w:t>
      </w:r>
      <w:r>
        <w:rPr>
          <w:rFonts w:hint="eastAsia" w:ascii="仿宋_GB2312" w:hAnsi="仿宋_GB2312" w:eastAsia="仿宋_GB2312" w:cs="仿宋_GB2312"/>
          <w:kern w:val="0"/>
          <w:szCs w:val="32"/>
          <w:shd w:val="clear" w:color="080000" w:fill="FFFFFF"/>
          <w:lang w:eastAsia="zh-CN"/>
        </w:rPr>
        <w:t>文件落实了</w:t>
      </w:r>
      <w:r>
        <w:rPr>
          <w:rFonts w:hint="eastAsia" w:ascii="仿宋_GB2312" w:hAnsi="仿宋_GB2312" w:eastAsia="仿宋_GB2312" w:cs="仿宋_GB2312"/>
          <w:kern w:val="0"/>
          <w:szCs w:val="32"/>
          <w:shd w:val="clear" w:color="080000" w:fill="FFFFFF"/>
        </w:rPr>
        <w:t>韩城市应急管理局安全生产监察专员</w:t>
      </w:r>
      <w:r>
        <w:rPr>
          <w:rFonts w:hint="eastAsia" w:ascii="仿宋_GB2312" w:hAnsi="仿宋_GB2312" w:eastAsia="仿宋_GB2312" w:cs="仿宋_GB2312"/>
          <w:i w:val="0"/>
          <w:iCs w:val="0"/>
          <w:color w:val="auto"/>
          <w:kern w:val="2"/>
          <w:sz w:val="32"/>
          <w:szCs w:val="32"/>
          <w:lang w:val="en-US" w:eastAsia="zh-CN" w:bidi="ar-SA"/>
        </w:rPr>
        <w:t>及2名驻矿</w:t>
      </w:r>
      <w:r>
        <w:rPr>
          <w:rFonts w:hint="eastAsia" w:ascii="仿宋_GB2312" w:hAnsi="仿宋_GB2312" w:eastAsia="仿宋_GB2312" w:cs="仿宋_GB2312"/>
          <w:kern w:val="0"/>
          <w:szCs w:val="32"/>
          <w:shd w:val="clear" w:color="080000" w:fill="FFFFFF"/>
        </w:rPr>
        <w:t>安监专员</w:t>
      </w:r>
      <w:r>
        <w:rPr>
          <w:rFonts w:hint="eastAsia" w:ascii="仿宋_GB2312" w:hAnsi="仿宋_GB2312" w:eastAsia="仿宋_GB2312" w:cs="仿宋_GB2312"/>
          <w:i w:val="0"/>
          <w:iCs w:val="0"/>
          <w:color w:val="auto"/>
          <w:kern w:val="2"/>
          <w:sz w:val="32"/>
          <w:szCs w:val="32"/>
          <w:lang w:val="en-US" w:eastAsia="zh-CN" w:bidi="ar-SA"/>
        </w:rPr>
        <w:t>的政务处分</w:t>
      </w:r>
      <w:r>
        <w:rPr>
          <w:rFonts w:hint="eastAsia" w:ascii="仿宋_GB2312" w:hAnsi="仿宋_GB2312" w:eastAsia="仿宋_GB2312" w:cs="仿宋_GB2312"/>
          <w:color w:val="auto"/>
          <w:sz w:val="32"/>
          <w:szCs w:val="32"/>
          <w:lang w:val="en-US" w:eastAsia="zh-CN"/>
        </w:rPr>
        <w:t>。</w:t>
      </w:r>
    </w:p>
    <w:p w14:paraId="665C8194">
      <w:pPr>
        <w:keepNext w:val="0"/>
        <w:keepLines w:val="0"/>
        <w:pageBreakBefore w:val="0"/>
        <w:widowControl/>
        <w:kinsoku/>
        <w:wordWrap/>
        <w:topLinePunct w:val="0"/>
        <w:bidi w:val="0"/>
        <w:spacing w:line="560" w:lineRule="exact"/>
        <w:ind w:firstLine="594" w:firstLineChars="200"/>
        <w:jc w:val="left"/>
        <w:rPr>
          <w:rFonts w:ascii="仿宋_GB2312" w:hAnsi="仿宋_GB2312" w:eastAsia="仿宋_GB2312" w:cs="仿宋_GB2312"/>
          <w:szCs w:val="32"/>
        </w:rPr>
      </w:pPr>
      <w:r>
        <w:rPr>
          <w:rFonts w:hint="eastAsia" w:ascii="仿宋_GB2312" w:hAnsi="仿宋_GB2312" w:eastAsia="仿宋_GB2312" w:cs="仿宋_GB2312"/>
          <w:b/>
          <w:bCs/>
          <w:szCs w:val="32"/>
        </w:rPr>
        <w:t>4.事故责任单位的处理建议落实情况。</w:t>
      </w:r>
      <w:r>
        <w:rPr>
          <w:rFonts w:hint="eastAsia" w:ascii="仿宋_GB2312" w:hAnsi="仿宋_GB2312" w:eastAsia="仿宋_GB2312" w:cs="仿宋_GB2312"/>
          <w:b w:val="0"/>
          <w:bCs w:val="0"/>
          <w:szCs w:val="32"/>
        </w:rPr>
        <w:t>事故发生后，依据国务院安委会“八条硬措施”规定，韩城市应急管理局已责令桑北煤矿停产整顿。</w:t>
      </w:r>
      <w:r>
        <w:rPr>
          <w:rFonts w:hint="eastAsia" w:ascii="仿宋_GB2312" w:hAnsi="仿宋_GB2312" w:eastAsia="仿宋_GB2312" w:cs="仿宋_GB2312"/>
          <w:szCs w:val="32"/>
        </w:rPr>
        <w:t>2025年1月10日，韩城市人民政府、韩城市应急管理局、黄河矿业、楚湘集团接受陕西局约谈。2025年2月24日，陕西局向</w:t>
      </w:r>
      <w:r>
        <w:rPr>
          <w:rFonts w:ascii="仿宋_GB2312" w:hAnsi="仿宋_GB2312" w:eastAsia="仿宋_GB2312" w:cs="仿宋_GB2312"/>
          <w:szCs w:val="32"/>
        </w:rPr>
        <w:t>楚湘建工集团桑北煤矿</w:t>
      </w:r>
      <w:r>
        <w:rPr>
          <w:rFonts w:hint="eastAsia" w:ascii="仿宋_GB2312" w:hAnsi="仿宋_GB2312" w:eastAsia="仿宋_GB2312" w:cs="仿宋_GB2312"/>
          <w:szCs w:val="32"/>
        </w:rPr>
        <w:t>下达了行政处罚决定书</w:t>
      </w:r>
      <w:r>
        <w:rPr>
          <w:rFonts w:hint="eastAsia" w:ascii="仿宋_GB2312" w:hAnsi="仿宋_GB2312" w:eastAsia="仿宋_GB2312" w:cs="仿宋_GB2312"/>
          <w:szCs w:val="32"/>
          <w:lang w:eastAsia="zh-CN"/>
        </w:rPr>
        <w:t>（</w:t>
      </w:r>
      <w:r>
        <w:rPr>
          <w:rFonts w:hint="eastAsia" w:ascii="仿宋_GB2312" w:hAnsi="仿宋_GB2312" w:eastAsia="仿宋_GB2312" w:cs="仿宋_GB2312"/>
          <w:szCs w:val="32"/>
        </w:rPr>
        <w:t>陕煤安监四罚〔2025〕15003号</w:t>
      </w:r>
      <w:r>
        <w:rPr>
          <w:rFonts w:hint="eastAsia" w:ascii="仿宋_GB2312" w:hAnsi="仿宋_GB2312" w:eastAsia="仿宋_GB2312" w:cs="仿宋_GB2312"/>
          <w:szCs w:val="32"/>
          <w:lang w:eastAsia="zh-CN"/>
        </w:rPr>
        <w:t>），</w:t>
      </w:r>
      <w:r>
        <w:rPr>
          <w:rFonts w:hint="eastAsia" w:ascii="仿宋_GB2312" w:hAnsi="仿宋_GB2312" w:eastAsia="仿宋_GB2312" w:cs="仿宋_GB2312"/>
          <w:szCs w:val="32"/>
        </w:rPr>
        <w:t>罚款70万元。截至2025年2月26日，行政罚款全部缴纳到位。</w:t>
      </w:r>
    </w:p>
    <w:p w14:paraId="1FD055A2">
      <w:pPr>
        <w:keepNext w:val="0"/>
        <w:keepLines w:val="0"/>
        <w:pageBreakBefore w:val="0"/>
        <w:kinsoku/>
        <w:wordWrap/>
        <w:topLinePunct w:val="0"/>
        <w:bidi w:val="0"/>
        <w:spacing w:line="560" w:lineRule="exact"/>
        <w:ind w:firstLine="594" w:firstLineChars="200"/>
        <w:rPr>
          <w:rFonts w:ascii="楷体_GB2312" w:hAnsi="Times New Roman" w:eastAsia="楷体_GB2312"/>
          <w:szCs w:val="32"/>
        </w:rPr>
      </w:pPr>
      <w:r>
        <w:rPr>
          <w:rFonts w:ascii="楷体_GB2312" w:hAnsi="Times New Roman" w:eastAsia="楷体_GB2312"/>
          <w:szCs w:val="32"/>
        </w:rPr>
        <w:t>（</w:t>
      </w:r>
      <w:r>
        <w:rPr>
          <w:rFonts w:hint="eastAsia" w:ascii="楷体_GB2312" w:hAnsi="Times New Roman" w:eastAsia="楷体_GB2312"/>
          <w:szCs w:val="32"/>
        </w:rPr>
        <w:t>二</w:t>
      </w:r>
      <w:r>
        <w:rPr>
          <w:rFonts w:ascii="楷体_GB2312" w:hAnsi="Times New Roman" w:eastAsia="楷体_GB2312"/>
          <w:szCs w:val="32"/>
        </w:rPr>
        <w:t>）事故防范和整改措施建议</w:t>
      </w:r>
      <w:r>
        <w:rPr>
          <w:rFonts w:ascii="楷体_GB2312" w:hAnsi="Times New Roman" w:eastAsia="楷体_GB2312"/>
          <w:szCs w:val="32"/>
          <w:lang w:bidi="en-US"/>
        </w:rPr>
        <w:t>落实</w:t>
      </w:r>
      <w:r>
        <w:rPr>
          <w:rFonts w:ascii="楷体_GB2312" w:hAnsi="Times New Roman" w:eastAsia="楷体_GB2312"/>
          <w:szCs w:val="32"/>
        </w:rPr>
        <w:t>情况</w:t>
      </w:r>
    </w:p>
    <w:p w14:paraId="6CF60E23">
      <w:pPr>
        <w:keepNext w:val="0"/>
        <w:keepLines w:val="0"/>
        <w:pageBreakBefore w:val="0"/>
        <w:kinsoku/>
        <w:wordWrap/>
        <w:topLinePunct w:val="0"/>
        <w:bidi w:val="0"/>
        <w:spacing w:line="560" w:lineRule="exact"/>
        <w:ind w:firstLine="594" w:firstLineChars="200"/>
        <w:rPr>
          <w:rFonts w:ascii="楷体_GB2312" w:hAnsi="楷体_GB2312" w:eastAsia="楷体_GB2312" w:cs="楷体_GB2312"/>
        </w:rPr>
      </w:pPr>
      <w:bookmarkStart w:id="0" w:name="_Toc870743274"/>
      <w:r>
        <w:rPr>
          <w:rFonts w:hint="eastAsia" w:ascii="楷体_GB2312" w:hAnsi="楷体_GB2312" w:eastAsia="楷体_GB2312" w:cs="楷体_GB2312"/>
          <w:lang w:val="en-US" w:eastAsia="zh-CN"/>
        </w:rPr>
        <w:t>1.</w:t>
      </w:r>
      <w:r>
        <w:rPr>
          <w:rFonts w:hint="eastAsia" w:ascii="楷体_GB2312" w:hAnsi="楷体_GB2312" w:eastAsia="楷体_GB2312" w:cs="楷体_GB2312"/>
        </w:rPr>
        <w:t>地方党委、政府层面：</w:t>
      </w:r>
      <w:bookmarkEnd w:id="0"/>
    </w:p>
    <w:p w14:paraId="710D28EE">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1</w:t>
      </w:r>
      <w:r>
        <w:rPr>
          <w:rFonts w:hint="eastAsia" w:ascii="仿宋_GB2312" w:hAnsi="仿宋_GB2312" w:eastAsia="仿宋_GB2312" w:cs="仿宋_GB2312"/>
          <w:b/>
          <w:bCs/>
        </w:rPr>
        <w:t>）严格党政领导责任落实。</w:t>
      </w:r>
      <w:r>
        <w:rPr>
          <w:rFonts w:hint="eastAsia" w:ascii="仿宋_GB2312" w:hAnsi="仿宋_GB2312" w:eastAsia="仿宋_GB2312" w:cs="仿宋_GB2312"/>
          <w:b w:val="0"/>
          <w:bCs w:val="0"/>
          <w:lang w:eastAsia="zh-CN"/>
        </w:rPr>
        <w:t>2025年以来</w:t>
      </w:r>
      <w:r>
        <w:rPr>
          <w:rFonts w:hint="eastAsia" w:ascii="仿宋_GB2312" w:hAnsi="仿宋_GB2312" w:eastAsia="仿宋_GB2312" w:cs="仿宋_GB2312"/>
          <w:b w:val="0"/>
          <w:bCs w:val="0"/>
        </w:rPr>
        <w:t>，</w:t>
      </w:r>
      <w:r>
        <w:rPr>
          <w:rFonts w:hint="eastAsia" w:ascii="仿宋_GB2312" w:hAnsi="仿宋_GB2312" w:eastAsia="仿宋_GB2312" w:cs="仿宋_GB2312"/>
        </w:rPr>
        <w:t>韩城市</w:t>
      </w:r>
      <w:r>
        <w:rPr>
          <w:rFonts w:hint="eastAsia" w:ascii="仿宋_GB2312" w:hAnsi="仿宋_GB2312" w:eastAsia="仿宋_GB2312" w:cs="仿宋_GB2312"/>
          <w:lang w:eastAsia="zh-CN"/>
        </w:rPr>
        <w:t>召开市委常委会会议12</w:t>
      </w:r>
      <w:r>
        <w:rPr>
          <w:rFonts w:hint="eastAsia" w:ascii="仿宋_GB2312" w:hAnsi="仿宋_GB2312" w:eastAsia="仿宋_GB2312" w:cs="仿宋_GB2312"/>
        </w:rPr>
        <w:t>次、</w:t>
      </w:r>
      <w:r>
        <w:rPr>
          <w:rFonts w:hint="eastAsia" w:ascii="仿宋_GB2312" w:hAnsi="仿宋_GB2312" w:eastAsia="仿宋_GB2312" w:cs="仿宋_GB2312"/>
          <w:lang w:eastAsia="zh-CN"/>
        </w:rPr>
        <w:t>市政府常务会议</w:t>
      </w:r>
      <w:r>
        <w:rPr>
          <w:rFonts w:hint="eastAsia" w:ascii="仿宋_GB2312" w:hAnsi="仿宋_GB2312" w:eastAsia="仿宋_GB2312" w:cs="仿宋_GB2312"/>
        </w:rPr>
        <w:t>及党组会7次、市安委会（煤安委会）11次，</w:t>
      </w:r>
      <w:r>
        <w:rPr>
          <w:rFonts w:hint="eastAsia" w:ascii="仿宋_GB2312" w:hAnsi="仿宋_GB2312" w:eastAsia="仿宋_GB2312" w:cs="仿宋_GB2312"/>
          <w:lang w:eastAsia="zh-CN"/>
        </w:rPr>
        <w:t>召开</w:t>
      </w:r>
      <w:r>
        <w:rPr>
          <w:rFonts w:hint="eastAsia" w:ascii="仿宋_GB2312" w:hAnsi="仿宋_GB2312" w:eastAsia="仿宋_GB2312" w:cs="仿宋_GB2312"/>
        </w:rPr>
        <w:t>三年行动等各类专题工作推进会18次，传达中、省、市关于安全生产工作各项决策部署，研判煤矿安全生产形势和煤矿领域重点县、监管建议落实等重点工作，研究贯彻落实措施。</w:t>
      </w:r>
    </w:p>
    <w:p w14:paraId="7BB03C63">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2</w:t>
      </w:r>
      <w:r>
        <w:rPr>
          <w:rFonts w:hint="eastAsia" w:ascii="仿宋_GB2312" w:hAnsi="仿宋_GB2312" w:eastAsia="仿宋_GB2312" w:cs="仿宋_GB2312"/>
          <w:b/>
          <w:bCs/>
        </w:rPr>
        <w:t>）严格落实各级联系包保责任。一是</w:t>
      </w:r>
      <w:r>
        <w:rPr>
          <w:rFonts w:hint="eastAsia" w:ascii="仿宋_GB2312" w:hAnsi="仿宋_GB2312" w:eastAsia="仿宋_GB2312" w:cs="仿宋_GB2312"/>
        </w:rPr>
        <w:t>韩城市委、市政府主要领导先后深入煤矿企业开展实地调研6次，真实掌握煤矿生产实际状况，在履职尽责的同时督促煤矿企业以高度政治自觉落实安全生产主体责任，坚决杜绝“带病”生产。</w:t>
      </w:r>
      <w:r>
        <w:rPr>
          <w:rFonts w:hint="eastAsia" w:ascii="仿宋_GB2312" w:hAnsi="仿宋_GB2312" w:eastAsia="仿宋_GB2312" w:cs="仿宋_GB2312"/>
          <w:b/>
          <w:bCs/>
        </w:rPr>
        <w:t>二是</w:t>
      </w:r>
      <w:r>
        <w:rPr>
          <w:rFonts w:hint="eastAsia" w:ascii="仿宋_GB2312" w:hAnsi="仿宋_GB2312" w:eastAsia="仿宋_GB2312" w:cs="仿宋_GB2312"/>
        </w:rPr>
        <w:t>构建了市政府、监管部门联系包保机制，市级包保领导在关键时段、关键区域</w:t>
      </w:r>
      <w:r>
        <w:rPr>
          <w:rFonts w:hint="eastAsia" w:ascii="仿宋_GB2312" w:hAnsi="仿宋_GB2312" w:eastAsia="仿宋_GB2312" w:cs="仿宋_GB2312"/>
          <w:lang w:eastAsia="zh-CN"/>
        </w:rPr>
        <w:t>针对</w:t>
      </w:r>
      <w:r>
        <w:rPr>
          <w:rFonts w:hint="eastAsia" w:ascii="仿宋_GB2312" w:hAnsi="仿宋_GB2312" w:eastAsia="仿宋_GB2312" w:cs="仿宋_GB2312"/>
        </w:rPr>
        <w:t>重点工作每月至少深入煤矿开展一次检查指导。</w:t>
      </w:r>
    </w:p>
    <w:p w14:paraId="3FD677E7">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3</w:t>
      </w:r>
      <w:r>
        <w:rPr>
          <w:rFonts w:hint="eastAsia" w:ascii="仿宋_GB2312" w:hAnsi="仿宋_GB2312" w:eastAsia="仿宋_GB2312" w:cs="仿宋_GB2312"/>
          <w:b/>
          <w:bCs/>
        </w:rPr>
        <w:t>）高位推动重点难点问题。</w:t>
      </w:r>
      <w:r>
        <w:rPr>
          <w:rFonts w:hint="eastAsia" w:ascii="仿宋_GB2312" w:hAnsi="仿宋_GB2312" w:eastAsia="仿宋_GB2312" w:cs="仿宋_GB2312"/>
        </w:rPr>
        <w:t>韩城市各相关领导先后推动解决狮山煤矿地面抽放泵站用地问题</w:t>
      </w:r>
      <w:r>
        <w:rPr>
          <w:rFonts w:hint="eastAsia" w:ascii="仿宋_GB2312" w:hAnsi="仿宋_GB2312" w:eastAsia="仿宋_GB2312" w:cs="仿宋_GB2312"/>
          <w:lang w:eastAsia="zh-CN"/>
        </w:rPr>
        <w:t>、</w:t>
      </w:r>
      <w:r>
        <w:rPr>
          <w:rFonts w:hint="eastAsia" w:ascii="仿宋_GB2312" w:hAnsi="仿宋_GB2312" w:eastAsia="仿宋_GB2312" w:cs="仿宋_GB2312"/>
        </w:rPr>
        <w:t>兴隆煤矿智能化大楼建设等问题</w:t>
      </w:r>
      <w:r>
        <w:rPr>
          <w:rFonts w:hint="eastAsia" w:ascii="仿宋_GB2312" w:hAnsi="仿宋_GB2312" w:eastAsia="仿宋_GB2312" w:cs="仿宋_GB2312"/>
          <w:lang w:eastAsia="zh-CN"/>
        </w:rPr>
        <w:t>，</w:t>
      </w:r>
      <w:r>
        <w:rPr>
          <w:rFonts w:hint="eastAsia" w:ascii="仿宋_GB2312" w:hAnsi="仿宋_GB2312" w:eastAsia="仿宋_GB2312" w:cs="仿宋_GB2312"/>
        </w:rPr>
        <w:t>协调并推动区域性隐蔽致灾因素普查费用</w:t>
      </w:r>
      <w:r>
        <w:rPr>
          <w:rFonts w:hint="eastAsia" w:ascii="仿宋_GB2312" w:hAnsi="仿宋_GB2312" w:eastAsia="仿宋_GB2312" w:cs="仿宋_GB2312"/>
          <w:lang w:eastAsia="zh-CN"/>
        </w:rPr>
        <w:t>落实、</w:t>
      </w:r>
      <w:r>
        <w:rPr>
          <w:rFonts w:hint="eastAsia" w:ascii="仿宋_GB2312" w:hAnsi="仿宋_GB2312" w:eastAsia="仿宋_GB2312" w:cs="仿宋_GB2312"/>
        </w:rPr>
        <w:t>重点县整治等工作。</w:t>
      </w:r>
    </w:p>
    <w:p w14:paraId="7FBE2B85">
      <w:pPr>
        <w:keepNext w:val="0"/>
        <w:keepLines w:val="0"/>
        <w:pageBreakBefore w:val="0"/>
        <w:kinsoku/>
        <w:wordWrap/>
        <w:topLinePunct w:val="0"/>
        <w:bidi w:val="0"/>
        <w:spacing w:line="560" w:lineRule="exact"/>
        <w:ind w:firstLine="594" w:firstLineChars="200"/>
        <w:rPr>
          <w:rFonts w:hint="eastAsia" w:ascii="楷体_GB2312" w:hAnsi="楷体_GB2312" w:eastAsia="楷体_GB2312" w:cs="楷体_GB2312"/>
        </w:rPr>
      </w:pPr>
      <w:bookmarkStart w:id="1" w:name="_Toc396159339"/>
      <w:r>
        <w:rPr>
          <w:rFonts w:hint="eastAsia" w:ascii="楷体_GB2312" w:hAnsi="楷体_GB2312" w:eastAsia="楷体_GB2312" w:cs="楷体_GB2312"/>
          <w:lang w:val="en-US" w:eastAsia="zh-CN"/>
        </w:rPr>
        <w:t>2.</w:t>
      </w:r>
      <w:r>
        <w:rPr>
          <w:rFonts w:hint="eastAsia" w:ascii="楷体_GB2312" w:hAnsi="楷体_GB2312" w:eastAsia="楷体_GB2312" w:cs="楷体_GB2312"/>
        </w:rPr>
        <w:t>监管部门层面：</w:t>
      </w:r>
      <w:bookmarkEnd w:id="1"/>
    </w:p>
    <w:p w14:paraId="3AB45061">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1</w:t>
      </w:r>
      <w:r>
        <w:rPr>
          <w:rFonts w:hint="eastAsia" w:ascii="仿宋_GB2312" w:hAnsi="仿宋_GB2312" w:eastAsia="仿宋_GB2312" w:cs="仿宋_GB2312"/>
          <w:b/>
          <w:bCs/>
        </w:rPr>
        <w:t>）强化监督考核，严格规范煤矿整体托管行为。一是</w:t>
      </w:r>
      <w:r>
        <w:rPr>
          <w:rFonts w:hint="eastAsia" w:ascii="仿宋_GB2312" w:hAnsi="仿宋_GB2312" w:eastAsia="仿宋_GB2312" w:cs="仿宋_GB2312"/>
        </w:rPr>
        <w:t>制定完善了《关于全市托管煤矿安全管理和考核办法》，将托管煤矿甲乙双方责任落实情况纳入安全监管计划重点内容并严格考核，倒逼按要求落实安全生产主体责任。</w:t>
      </w:r>
      <w:r>
        <w:rPr>
          <w:rFonts w:hint="eastAsia" w:ascii="仿宋_GB2312" w:hAnsi="仿宋_GB2312" w:eastAsia="仿宋_GB2312" w:cs="仿宋_GB2312"/>
          <w:b/>
          <w:bCs/>
        </w:rPr>
        <w:t>二是</w:t>
      </w:r>
      <w:r>
        <w:rPr>
          <w:rFonts w:hint="eastAsia" w:ascii="仿宋_GB2312" w:hAnsi="仿宋_GB2312" w:eastAsia="仿宋_GB2312" w:cs="仿宋_GB2312"/>
        </w:rPr>
        <w:t>定期组织对各托管煤矿五职矿长、安全管理人员进行培训教育，强化考核，对连续考核不合格的，严肃处理，直至解除合同；同时采取班前抽查、现场提问、岗位描述等活动方式，对一线职工能力进行摸底，倒查企业培训教育落实情况。</w:t>
      </w:r>
      <w:r>
        <w:rPr>
          <w:rFonts w:hint="eastAsia" w:ascii="仿宋_GB2312" w:hAnsi="仿宋_GB2312" w:eastAsia="仿宋_GB2312" w:cs="仿宋_GB2312"/>
          <w:b/>
          <w:bCs/>
        </w:rPr>
        <w:t>三是</w:t>
      </w:r>
      <w:r>
        <w:rPr>
          <w:rFonts w:hint="eastAsia" w:ascii="仿宋_GB2312" w:hAnsi="仿宋_GB2312" w:eastAsia="仿宋_GB2312" w:cs="仿宋_GB2312"/>
        </w:rPr>
        <w:t>督促托管煤矿进一步修订完善托管合同条款，明确责任分工、费用提取、结算方式等内容，推动解决制约煤矿企业安全稳定高效发展重大问题，杜绝整体托管“两张皮”现象。</w:t>
      </w:r>
    </w:p>
    <w:p w14:paraId="2C356153">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2</w:t>
      </w:r>
      <w:r>
        <w:rPr>
          <w:rFonts w:hint="eastAsia" w:ascii="仿宋_GB2312" w:hAnsi="仿宋_GB2312" w:eastAsia="仿宋_GB2312" w:cs="仿宋_GB2312"/>
          <w:b/>
          <w:bCs/>
        </w:rPr>
        <w:t>）加强量化考核，充分发挥好驻矿安监员驻矿盯守作用。一是</w:t>
      </w:r>
      <w:r>
        <w:rPr>
          <w:rFonts w:hint="eastAsia" w:ascii="仿宋_GB2312" w:hAnsi="仿宋_GB2312" w:eastAsia="仿宋_GB2312" w:cs="仿宋_GB2312"/>
        </w:rPr>
        <w:t>建立了煤矿安全生产“日调度”工作机制，驻矿安监员每日汇报矿井生产建设、灾害治理、监测监控关键信息，动态掌握矿井采掘布置情况，对矿井重大情况做到情况清、底子明，坚持“日调度、日研判、日落实”，及时消除风险。</w:t>
      </w:r>
      <w:r>
        <w:rPr>
          <w:rFonts w:hint="eastAsia" w:ascii="仿宋_GB2312" w:hAnsi="仿宋_GB2312" w:eastAsia="仿宋_GB2312" w:cs="仿宋_GB2312"/>
          <w:b/>
          <w:bCs/>
        </w:rPr>
        <w:t>二是</w:t>
      </w:r>
      <w:r>
        <w:rPr>
          <w:rFonts w:hint="eastAsia" w:ascii="仿宋_GB2312" w:hAnsi="仿宋_GB2312" w:eastAsia="仿宋_GB2312" w:cs="仿宋_GB2312"/>
        </w:rPr>
        <w:t>制定了《韩城市驻矿安监员管理和考核办法》，足额配备了驻矿安监员，并督促驻矿安监员按照“十到位、十到场”</w:t>
      </w:r>
      <w:r>
        <w:rPr>
          <w:rFonts w:hint="eastAsia" w:ascii="仿宋_GB2312" w:hAnsi="仿宋_GB2312" w:eastAsia="仿宋_GB2312" w:cs="仿宋_GB2312"/>
          <w:lang w:eastAsia="zh-CN"/>
        </w:rPr>
        <w:t>要求和</w:t>
      </w:r>
      <w:r>
        <w:rPr>
          <w:rFonts w:hint="eastAsia" w:ascii="仿宋_GB2312" w:hAnsi="仿宋_GB2312" w:eastAsia="仿宋_GB2312" w:cs="仿宋_GB2312"/>
        </w:rPr>
        <w:t>每月每人入井不少于15次</w:t>
      </w:r>
      <w:r>
        <w:rPr>
          <w:rFonts w:hint="eastAsia" w:ascii="仿宋_GB2312" w:hAnsi="仿宋_GB2312" w:eastAsia="仿宋_GB2312" w:cs="仿宋_GB2312"/>
          <w:lang w:eastAsia="zh-CN"/>
        </w:rPr>
        <w:t>，落实</w:t>
      </w:r>
      <w:r>
        <w:rPr>
          <w:rFonts w:hint="eastAsia" w:ascii="仿宋_GB2312" w:hAnsi="仿宋_GB2312" w:eastAsia="仿宋_GB2312" w:cs="仿宋_GB2312"/>
        </w:rPr>
        <w:t>驻矿责任</w:t>
      </w:r>
      <w:r>
        <w:rPr>
          <w:rFonts w:hint="eastAsia" w:ascii="仿宋_GB2312" w:hAnsi="仿宋_GB2312" w:eastAsia="仿宋_GB2312" w:cs="仿宋_GB2312"/>
          <w:lang w:eastAsia="zh-CN"/>
        </w:rPr>
        <w:t>，</w:t>
      </w:r>
      <w:r>
        <w:rPr>
          <w:rFonts w:hint="eastAsia" w:ascii="仿宋_GB2312" w:hAnsi="仿宋_GB2312" w:eastAsia="仿宋_GB2312" w:cs="仿宋_GB2312"/>
        </w:rPr>
        <w:t>严格按照考核办法进行考核，对不胜任的驻矿安监员及时调整岗位，确保煤矿安全监管的“前哨”和“盯守”效果。</w:t>
      </w:r>
      <w:bookmarkStart w:id="2" w:name="_Toc1798277844"/>
    </w:p>
    <w:p w14:paraId="7E7ABACE">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3</w:t>
      </w:r>
      <w:r>
        <w:rPr>
          <w:rFonts w:hint="eastAsia" w:ascii="仿宋_GB2312" w:hAnsi="仿宋_GB2312" w:eastAsia="仿宋_GB2312" w:cs="仿宋_GB2312"/>
          <w:b/>
          <w:bCs/>
        </w:rPr>
        <w:t>）强化煤矿日常安全监督检查，严格监管执法。一是</w:t>
      </w:r>
      <w:r>
        <w:rPr>
          <w:rFonts w:hint="eastAsia" w:ascii="仿宋_GB2312" w:hAnsi="仿宋_GB2312" w:eastAsia="仿宋_GB2312" w:cs="仿宋_GB2312"/>
        </w:rPr>
        <w:t>根据2024年检查情况和各矿生产情况，对标国家矿山局监管执法计划编制导则制定了《2025年煤矿安全生产监管计划》，同时定期根据月度研判结果、上级工作部署制定了检查计划，确保监管时效性。2025年计划执法检查28矿次，</w:t>
      </w:r>
      <w:r>
        <w:rPr>
          <w:rFonts w:hint="eastAsia" w:ascii="仿宋_GB2312" w:hAnsi="仿宋_GB2312" w:eastAsia="仿宋_GB2312" w:cs="仿宋_GB2312"/>
          <w:lang w:eastAsia="zh-CN"/>
        </w:rPr>
        <w:t>截至</w:t>
      </w:r>
      <w:r>
        <w:rPr>
          <w:rFonts w:hint="eastAsia" w:ascii="仿宋_GB2312" w:hAnsi="仿宋_GB2312" w:eastAsia="仿宋_GB2312" w:cs="仿宋_GB2312"/>
        </w:rPr>
        <w:t>目前，已完成26矿次，立案查处10起，处罚421.3万元。</w:t>
      </w:r>
      <w:r>
        <w:rPr>
          <w:rFonts w:hint="eastAsia" w:ascii="仿宋_GB2312" w:hAnsi="仿宋_GB2312" w:eastAsia="仿宋_GB2312" w:cs="仿宋_GB2312"/>
          <w:b/>
          <w:bCs/>
        </w:rPr>
        <w:t>二是</w:t>
      </w:r>
      <w:r>
        <w:rPr>
          <w:rFonts w:hint="eastAsia" w:ascii="仿宋_GB2312" w:hAnsi="仿宋_GB2312" w:eastAsia="仿宋_GB2312" w:cs="仿宋_GB2312"/>
        </w:rPr>
        <w:t>围绕“服务+监管”“内强素质、外塑形象”监管工作基调，围绕“重大灾害治理、重大隐患排查、打非治违”等方面进行检查，先后组织开展了“五类灾害要点落实”“通风三十条”“防治水”等专项检查，帮助企业解决各类问题隐患984项。</w:t>
      </w:r>
    </w:p>
    <w:p w14:paraId="7C98E18A">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4</w:t>
      </w:r>
      <w:r>
        <w:rPr>
          <w:rFonts w:hint="eastAsia" w:ascii="仿宋_GB2312" w:hAnsi="仿宋_GB2312" w:eastAsia="仿宋_GB2312" w:cs="仿宋_GB2312"/>
          <w:b/>
          <w:bCs/>
        </w:rPr>
        <w:t>）深刻汲取事故教训，有序推进各项重点工作。一是</w:t>
      </w:r>
      <w:r>
        <w:rPr>
          <w:rFonts w:hint="eastAsia" w:ascii="仿宋_GB2312" w:hAnsi="仿宋_GB2312" w:eastAsia="仿宋_GB2312" w:cs="仿宋_GB2312"/>
        </w:rPr>
        <w:t>为深刻汲取桑北煤矿“12·16”事故教训，</w:t>
      </w:r>
      <w:r>
        <w:rPr>
          <w:rFonts w:hint="eastAsia" w:ascii="仿宋_GB2312" w:hAnsi="仿宋_GB2312" w:eastAsia="仿宋_GB2312" w:cs="仿宋_GB2312"/>
          <w:lang w:eastAsia="zh-CN"/>
        </w:rPr>
        <w:t>韩城市应急管理局紧急</w:t>
      </w:r>
      <w:r>
        <w:rPr>
          <w:rFonts w:hint="eastAsia" w:ascii="仿宋_GB2312" w:hAnsi="仿宋_GB2312" w:eastAsia="仿宋_GB2312" w:cs="仿宋_GB2312"/>
        </w:rPr>
        <w:t>印发《韩城市应急管理局关于开展煤矿安全管理自查自改工作的紧急通知》，督促各矿立即对煤仓安全管理情况进行自查</w:t>
      </w:r>
      <w:r>
        <w:rPr>
          <w:rFonts w:hint="eastAsia" w:ascii="仿宋_GB2312" w:hAnsi="仿宋_GB2312" w:eastAsia="仿宋_GB2312" w:cs="仿宋_GB2312"/>
          <w:lang w:eastAsia="zh-CN"/>
        </w:rPr>
        <w:t>，</w:t>
      </w:r>
      <w:r>
        <w:rPr>
          <w:rFonts w:hint="eastAsia" w:ascii="仿宋_GB2312" w:hAnsi="仿宋_GB2312" w:eastAsia="仿宋_GB2312" w:cs="仿宋_GB2312"/>
        </w:rPr>
        <w:t>并督促辖区煤矿进行煤仓改造，</w:t>
      </w:r>
      <w:r>
        <w:rPr>
          <w:rFonts w:hint="eastAsia" w:ascii="仿宋_GB2312" w:hAnsi="仿宋_GB2312" w:eastAsia="仿宋_GB2312" w:cs="仿宋_GB2312"/>
          <w:lang w:eastAsia="zh-CN"/>
        </w:rPr>
        <w:t>截至</w:t>
      </w:r>
      <w:r>
        <w:rPr>
          <w:rFonts w:hint="eastAsia" w:ascii="仿宋_GB2312" w:hAnsi="仿宋_GB2312" w:eastAsia="仿宋_GB2312" w:cs="仿宋_GB2312"/>
        </w:rPr>
        <w:t>目前，已全部改造完成。</w:t>
      </w:r>
      <w:r>
        <w:rPr>
          <w:rFonts w:hint="eastAsia" w:ascii="仿宋_GB2312" w:hAnsi="仿宋_GB2312" w:eastAsia="仿宋_GB2312" w:cs="仿宋_GB2312"/>
          <w:b/>
          <w:bCs/>
        </w:rPr>
        <w:t>二是</w:t>
      </w:r>
      <w:r>
        <w:rPr>
          <w:rFonts w:hint="eastAsia" w:ascii="仿宋_GB2312" w:hAnsi="仿宋_GB2312" w:eastAsia="仿宋_GB2312" w:cs="仿宋_GB2312"/>
        </w:rPr>
        <w:t>以贯彻落实两办《意见》“</w:t>
      </w:r>
      <w:r>
        <w:rPr>
          <w:rFonts w:hint="eastAsia" w:ascii="仿宋_GB2312" w:hAnsi="仿宋_GB2312" w:eastAsia="仿宋_GB2312" w:cs="仿宋_GB2312"/>
          <w:lang w:val="en-US" w:eastAsia="zh-CN"/>
        </w:rPr>
        <w:t>八条</w:t>
      </w:r>
      <w:r>
        <w:rPr>
          <w:rFonts w:hint="eastAsia" w:ascii="仿宋_GB2312" w:hAnsi="仿宋_GB2312" w:eastAsia="仿宋_GB2312" w:cs="仿宋_GB2312"/>
        </w:rPr>
        <w:t>硬措施”以及《</w:t>
      </w:r>
      <w:r>
        <w:rPr>
          <w:rFonts w:hint="eastAsia" w:ascii="仿宋_GB2312" w:hAnsi="仿宋_GB2312" w:eastAsia="仿宋_GB2312" w:cs="仿宋_GB2312"/>
          <w:lang w:val="en-US" w:eastAsia="zh-CN"/>
        </w:rPr>
        <w:t>煤矿安全</w:t>
      </w:r>
      <w:r>
        <w:rPr>
          <w:rFonts w:hint="eastAsia" w:ascii="仿宋_GB2312" w:hAnsi="仿宋_GB2312" w:eastAsia="仿宋_GB2312" w:cs="仿宋_GB2312"/>
        </w:rPr>
        <w:t>生产条例》为抓手，印发《韩城市2025年安全生产工作要点》《2025年煤矿治本攻坚三年行动任务清单》，细化梳理9方面34项77条具体任务，逐月分解推进，定期复盘总结。</w:t>
      </w:r>
      <w:r>
        <w:rPr>
          <w:rFonts w:hint="eastAsia" w:ascii="仿宋_GB2312" w:hAnsi="仿宋_GB2312" w:eastAsia="仿宋_GB2312" w:cs="仿宋_GB2312"/>
          <w:b/>
          <w:bCs/>
        </w:rPr>
        <w:t>三是</w:t>
      </w:r>
      <w:r>
        <w:rPr>
          <w:rFonts w:hint="eastAsia" w:ascii="仿宋_GB2312" w:hAnsi="仿宋_GB2312" w:eastAsia="仿宋_GB2312" w:cs="仿宋_GB2312"/>
        </w:rPr>
        <w:t>对2024年度全部工作任务、2025年度工作任务逐项开展验收评估，全面检验已完成任务的执行质量、目标达成度与实际成效，精准识别未完成任务的核心症结，建立落实“月总结、季盘点、强执法、逼落实”工作机制，确保治本攻坚三年行动取得实效，全市煤矿安全生产基础能力得到质的提升。</w:t>
      </w:r>
    </w:p>
    <w:p w14:paraId="519662E4">
      <w:pPr>
        <w:keepNext w:val="0"/>
        <w:keepLines w:val="0"/>
        <w:pageBreakBefore w:val="0"/>
        <w:kinsoku/>
        <w:wordWrap/>
        <w:topLinePunct w:val="0"/>
        <w:bidi w:val="0"/>
        <w:spacing w:line="560" w:lineRule="exact"/>
        <w:ind w:firstLine="594" w:firstLineChars="200"/>
        <w:rPr>
          <w:rFonts w:ascii="楷体_GB2312" w:hAnsi="楷体_GB2312" w:eastAsia="楷体_GB2312" w:cs="楷体_GB2312"/>
        </w:rPr>
      </w:pPr>
      <w:r>
        <w:rPr>
          <w:rFonts w:hint="eastAsia" w:ascii="楷体_GB2312" w:hAnsi="楷体_GB2312" w:eastAsia="楷体_GB2312" w:cs="楷体_GB2312"/>
          <w:lang w:val="en-US" w:eastAsia="zh-CN"/>
        </w:rPr>
        <w:t>3.</w:t>
      </w:r>
      <w:r>
        <w:rPr>
          <w:rFonts w:hint="eastAsia" w:ascii="楷体_GB2312" w:hAnsi="楷体_GB2312" w:eastAsia="楷体_GB2312" w:cs="楷体_GB2312"/>
        </w:rPr>
        <w:t>企业层面：</w:t>
      </w:r>
      <w:bookmarkEnd w:id="2"/>
    </w:p>
    <w:p w14:paraId="4EB02DB9">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1</w:t>
      </w:r>
      <w:r>
        <w:rPr>
          <w:rFonts w:hint="eastAsia" w:ascii="仿宋_GB2312" w:hAnsi="仿宋_GB2312" w:eastAsia="仿宋_GB2312" w:cs="仿宋_GB2312"/>
          <w:b/>
          <w:bCs/>
        </w:rPr>
        <w:t>）深刻汲取事故教训，深入开展大反思活动。</w:t>
      </w:r>
      <w:r>
        <w:rPr>
          <w:rFonts w:hint="eastAsia" w:ascii="仿宋_GB2312" w:hAnsi="仿宋_GB2312" w:eastAsia="仿宋_GB2312" w:cs="仿宋_GB2312"/>
        </w:rPr>
        <w:t>为深刻</w:t>
      </w:r>
      <w:r>
        <w:rPr>
          <w:rFonts w:hint="eastAsia" w:ascii="仿宋_GB2312" w:hAnsi="仿宋_GB2312" w:eastAsia="仿宋_GB2312" w:cs="仿宋_GB2312"/>
          <w:lang w:eastAsia="zh-CN"/>
        </w:rPr>
        <w:t>汲取</w:t>
      </w:r>
      <w:r>
        <w:rPr>
          <w:rFonts w:hint="eastAsia" w:ascii="仿宋_GB2312" w:hAnsi="仿宋_GB2312" w:eastAsia="仿宋_GB2312" w:cs="仿宋_GB2312"/>
        </w:rPr>
        <w:t>事故教训，进一步引导全体干部职工认清形势，深入查找思想、管理和安全生产工作等方面存在的问题，桑北煤矿召开了反思会。通过深刻反思、剖析事故原因和漏洞，制定了安全防范措施。</w:t>
      </w:r>
    </w:p>
    <w:p w14:paraId="7ACE2623">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2</w:t>
      </w:r>
      <w:r>
        <w:rPr>
          <w:rFonts w:hint="eastAsia" w:ascii="仿宋_GB2312" w:hAnsi="仿宋_GB2312" w:eastAsia="仿宋_GB2312" w:cs="仿宋_GB2312"/>
          <w:b/>
          <w:bCs/>
        </w:rPr>
        <w:t>）常态化开展安全警示教育，全面提升职工安全意识。</w:t>
      </w:r>
      <w:r>
        <w:rPr>
          <w:rFonts w:hint="eastAsia" w:ascii="仿宋_GB2312" w:hAnsi="仿宋_GB2312" w:eastAsia="仿宋_GB2312" w:cs="仿宋_GB2312"/>
        </w:rPr>
        <w:t>按照陕西局《关于开展事故煤矿集中安全警示教育的通知》，桑北煤矿先后委托陕西秦和安全技术培训有限公司、澄合矿业职工培训中心开展了安全管理人员警示教育和两期从业人员安全警示教育培训，先后培训994人，常态化开展安全警示教育9次，累计培训5489人次。</w:t>
      </w:r>
    </w:p>
    <w:p w14:paraId="397DF159">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3</w:t>
      </w:r>
      <w:r>
        <w:rPr>
          <w:rFonts w:hint="eastAsia" w:ascii="仿宋_GB2312" w:hAnsi="仿宋_GB2312" w:eastAsia="仿宋_GB2312" w:cs="仿宋_GB2312"/>
          <w:b/>
          <w:bCs/>
        </w:rPr>
        <w:t>）落实煤仓改造，规范煤仓管理。</w:t>
      </w:r>
      <w:r>
        <w:rPr>
          <w:rFonts w:hint="eastAsia" w:ascii="仿宋_GB2312" w:hAnsi="仿宋_GB2312" w:eastAsia="仿宋_GB2312" w:cs="仿宋_GB2312"/>
        </w:rPr>
        <w:t>按照国家矿山安全监察局《关于进一步加强煤矿煤仓安全管理的通知》和陕西局《关于加强煤矿煤仓安全管理工作的紧急通知》要求，对井下煤仓进行了全面排查整改。井下现有煤仓13个，不再使用的6个煤仓已全部封闭到位，在用的7个煤仓按要求安装了视频监控系统、远距离控制系统、异物识别、破拱装置和防溃仓闸门等设施。</w:t>
      </w:r>
    </w:p>
    <w:p w14:paraId="21C2F008">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4</w:t>
      </w:r>
      <w:r>
        <w:rPr>
          <w:rFonts w:hint="eastAsia" w:ascii="仿宋_GB2312" w:hAnsi="仿宋_GB2312" w:eastAsia="仿宋_GB2312" w:cs="仿宋_GB2312"/>
          <w:b/>
          <w:bCs/>
        </w:rPr>
        <w:t>）健全完善管理制度，夯实安全生产基础。一是</w:t>
      </w:r>
      <w:r>
        <w:rPr>
          <w:rFonts w:hint="eastAsia" w:ascii="仿宋_GB2312" w:hAnsi="仿宋_GB2312" w:eastAsia="仿宋_GB2312" w:cs="仿宋_GB2312"/>
        </w:rPr>
        <w:t>印发了《关于加强桑北煤矿安全监管工作的通知》，进一步理清了委托方、承托方双方责任，修订了《桑北煤矿整体托管监督管理制度》，</w:t>
      </w:r>
      <w:r>
        <w:rPr>
          <w:rFonts w:hint="eastAsia" w:ascii="仿宋_GB2312" w:hAnsi="仿宋_GB2312" w:eastAsia="仿宋_GB2312" w:cs="仿宋_GB2312"/>
          <w:lang w:eastAsia="zh-CN"/>
        </w:rPr>
        <w:t>加大</w:t>
      </w:r>
      <w:r>
        <w:rPr>
          <w:rFonts w:hint="eastAsia" w:ascii="仿宋_GB2312" w:hAnsi="仿宋_GB2312" w:eastAsia="仿宋_GB2312" w:cs="仿宋_GB2312"/>
        </w:rPr>
        <w:t>对承托方日常监管力度；</w:t>
      </w:r>
      <w:r>
        <w:rPr>
          <w:rFonts w:hint="eastAsia" w:ascii="仿宋_GB2312" w:hAnsi="仿宋_GB2312" w:eastAsia="仿宋_GB2312" w:cs="仿宋_GB2312"/>
          <w:b/>
          <w:bCs/>
        </w:rPr>
        <w:t>二是</w:t>
      </w:r>
      <w:r>
        <w:rPr>
          <w:rFonts w:hint="eastAsia" w:ascii="仿宋_GB2312" w:hAnsi="仿宋_GB2312" w:eastAsia="仿宋_GB2312" w:cs="仿宋_GB2312"/>
        </w:rPr>
        <w:t>修订了《桑北煤矿煤仓管理监管制度》，进一步明确了煤仓设计、施工、日常维护、应急处置等环节的监管职责；</w:t>
      </w:r>
      <w:r>
        <w:rPr>
          <w:rFonts w:hint="eastAsia" w:ascii="仿宋_GB2312" w:hAnsi="仿宋_GB2312" w:eastAsia="仿宋_GB2312" w:cs="仿宋_GB2312"/>
          <w:b/>
          <w:bCs/>
        </w:rPr>
        <w:t>三是</w:t>
      </w:r>
      <w:r>
        <w:rPr>
          <w:rFonts w:hint="eastAsia" w:ascii="仿宋_GB2312" w:hAnsi="仿宋_GB2312" w:eastAsia="仿宋_GB2312" w:cs="仿宋_GB2312"/>
        </w:rPr>
        <w:t>修订了《领导干部24小时值班制度》，《井下安全巡查管理制度》等六项安全生产管理制度，组建了安监小分队，强化包保责任和现场盯守，规范矿井安全生产各环节管理。</w:t>
      </w:r>
    </w:p>
    <w:p w14:paraId="7318E0A3">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5</w:t>
      </w:r>
      <w:r>
        <w:rPr>
          <w:rFonts w:hint="eastAsia" w:ascii="仿宋_GB2312" w:hAnsi="仿宋_GB2312" w:eastAsia="仿宋_GB2312" w:cs="仿宋_GB2312"/>
          <w:b/>
          <w:bCs/>
        </w:rPr>
        <w:t>）落实主体责任，深入开展隐患排查治理。</w:t>
      </w:r>
      <w:r>
        <w:rPr>
          <w:rFonts w:hint="eastAsia" w:ascii="仿宋_GB2312" w:hAnsi="仿宋_GB2312" w:eastAsia="仿宋_GB2312" w:cs="仿宋_GB2312"/>
        </w:rPr>
        <w:t>事故发生后，桑北煤矿先后开展了煤仓专项自查自改、井下风门自查自改、井上下内外因火灾专项检查、煤矿托管自查自改、煤矿安全风险监测预警系统自查自改、建设矿井转生产矿井自查自改等隐患排查工作，建立了隐患举报奖励制度，初步形成了全员隐患排查治理机制。今年以来，矿井共自查自改重大事故隐患20条。</w:t>
      </w:r>
    </w:p>
    <w:p w14:paraId="31A7DF41">
      <w:pPr>
        <w:keepNext w:val="0"/>
        <w:keepLines w:val="0"/>
        <w:pageBreakBefore w:val="0"/>
        <w:kinsoku/>
        <w:wordWrap/>
        <w:topLinePunct w:val="0"/>
        <w:bidi w:val="0"/>
        <w:adjustRightInd w:val="0"/>
        <w:snapToGrid w:val="0"/>
        <w:spacing w:line="560" w:lineRule="exact"/>
        <w:ind w:firstLine="594" w:firstLineChars="200"/>
        <w:rPr>
          <w:rFonts w:ascii="黑体" w:hAnsi="黑体" w:eastAsia="黑体" w:cs="黑体"/>
          <w:szCs w:val="32"/>
        </w:rPr>
      </w:pPr>
      <w:r>
        <w:rPr>
          <w:rFonts w:hint="eastAsia" w:ascii="黑体" w:hAnsi="黑体" w:eastAsia="黑体" w:cs="黑体"/>
          <w:szCs w:val="32"/>
        </w:rPr>
        <w:t>三、总体评估意见</w:t>
      </w:r>
    </w:p>
    <w:p w14:paraId="6765FE13">
      <w:pPr>
        <w:pStyle w:val="9"/>
        <w:keepNext w:val="0"/>
        <w:keepLines w:val="0"/>
        <w:pageBreakBefore w:val="0"/>
        <w:kinsoku/>
        <w:wordWrap/>
        <w:topLinePunct w:val="0"/>
        <w:bidi w:val="0"/>
        <w:snapToGrid w:val="0"/>
        <w:spacing w:line="560" w:lineRule="exact"/>
        <w:ind w:firstLine="594" w:firstLineChars="200"/>
        <w:jc w:val="both"/>
        <w:rPr>
          <w:rFonts w:ascii="仿宋_GB2312" w:hAnsi="仿宋_GB2312" w:eastAsia="仿宋_GB2312" w:cs="仿宋_GB2312"/>
          <w:sz w:val="32"/>
          <w:szCs w:val="32"/>
          <w:shd w:val="clear" w:color="080000" w:fill="FFFFFF"/>
        </w:rPr>
      </w:pPr>
      <w:bookmarkStart w:id="3" w:name="_Hlk137080753"/>
      <w:r>
        <w:rPr>
          <w:rFonts w:hint="eastAsia" w:ascii="仿宋_GB2312" w:hAnsi="仿宋_GB2312" w:eastAsia="仿宋_GB2312" w:cs="仿宋_GB2312"/>
          <w:sz w:val="32"/>
          <w:szCs w:val="32"/>
          <w:shd w:val="clear" w:color="080000" w:fill="FFFFFF"/>
        </w:rPr>
        <w:t>韩城市人民政府、</w:t>
      </w:r>
      <w:r>
        <w:rPr>
          <w:rFonts w:hint="eastAsia" w:ascii="仿宋_GB2312" w:hAnsi="仿宋_GB2312" w:eastAsia="仿宋_GB2312" w:cs="仿宋_GB2312"/>
          <w:color w:val="auto"/>
          <w:sz w:val="32"/>
          <w:szCs w:val="32"/>
          <w:shd w:val="clear" w:color="080000" w:fill="FFFFFF"/>
        </w:rPr>
        <w:t>韩城市应急管理局</w:t>
      </w:r>
      <w:bookmarkStart w:id="5" w:name="_GoBack"/>
      <w:bookmarkEnd w:id="5"/>
      <w:r>
        <w:rPr>
          <w:rFonts w:hint="eastAsia" w:ascii="仿宋_GB2312" w:hAnsi="仿宋_GB2312" w:eastAsia="仿宋_GB2312" w:cs="仿宋_GB2312"/>
          <w:sz w:val="32"/>
          <w:szCs w:val="32"/>
          <w:shd w:val="clear" w:color="080000" w:fill="FFFFFF"/>
        </w:rPr>
        <w:t>能够按照事故结案通知和事故调查报告的要求，对事故防范和整改措施建议进行了落实，辖区煤矿安全生产形势保持稳定，但地方监管责任落实仍需进一步加强；</w:t>
      </w:r>
      <w:bookmarkEnd w:id="3"/>
      <w:r>
        <w:rPr>
          <w:rFonts w:hint="eastAsia" w:ascii="仿宋_GB2312" w:hAnsi="仿宋_GB2312" w:eastAsia="仿宋_GB2312" w:cs="仿宋_GB2312"/>
          <w:sz w:val="32"/>
          <w:szCs w:val="32"/>
          <w:shd w:val="clear" w:color="080000" w:fill="FFFFFF"/>
        </w:rPr>
        <w:t>桑北煤矿对事故防范和整改措施建议进行了落实，但仍存在未</w:t>
      </w:r>
      <w:r>
        <w:rPr>
          <w:rFonts w:hint="eastAsia" w:ascii="仿宋_GB2312" w:hAnsi="仿宋_GB2312" w:eastAsia="仿宋_GB2312" w:cs="仿宋_GB2312"/>
          <w:kern w:val="2"/>
          <w:sz w:val="32"/>
          <w:szCs w:val="32"/>
        </w:rPr>
        <w:t>有效杜绝人员违章</w:t>
      </w:r>
      <w:r>
        <w:rPr>
          <w:rFonts w:hint="eastAsia" w:ascii="仿宋_GB2312" w:hAnsi="仿宋_GB2312" w:eastAsia="仿宋_GB2312" w:cs="仿宋_GB2312"/>
          <w:sz w:val="32"/>
          <w:szCs w:val="32"/>
          <w:shd w:val="clear" w:color="080000" w:fill="FFFFFF"/>
        </w:rPr>
        <w:t>、操作规程、安全措施制定和人员培训欠缺以及治本攻坚三年行动制定的年度攻坚任务推动缓慢等问题，需进一步加强和整改。</w:t>
      </w:r>
    </w:p>
    <w:p w14:paraId="5E48F90B">
      <w:pPr>
        <w:keepNext w:val="0"/>
        <w:keepLines w:val="0"/>
        <w:pageBreakBefore w:val="0"/>
        <w:kinsoku/>
        <w:wordWrap/>
        <w:topLinePunct w:val="0"/>
        <w:bidi w:val="0"/>
        <w:adjustRightInd w:val="0"/>
        <w:snapToGrid w:val="0"/>
        <w:spacing w:line="560" w:lineRule="exact"/>
        <w:ind w:firstLine="594" w:firstLineChars="200"/>
        <w:rPr>
          <w:rFonts w:ascii="仿宋_GB2312" w:hAnsi="仿宋_GB2312" w:eastAsia="仿宋_GB2312" w:cs="仿宋_GB2312"/>
          <w:color w:val="000000"/>
          <w:kern w:val="0"/>
          <w:szCs w:val="32"/>
          <w:highlight w:val="yellow"/>
          <w:shd w:val="clear" w:color="080000" w:fill="FFFFFF"/>
        </w:rPr>
      </w:pPr>
      <w:r>
        <w:rPr>
          <w:rFonts w:hint="eastAsia" w:ascii="仿宋_GB2312" w:hAnsi="仿宋_GB2312" w:eastAsia="仿宋_GB2312" w:cs="仿宋_GB2312"/>
          <w:color w:val="000000"/>
          <w:kern w:val="0"/>
          <w:szCs w:val="32"/>
          <w:shd w:val="clear" w:color="080000" w:fill="FFFFFF"/>
        </w:rPr>
        <w:t>桑北煤矿及有关责任人员均按期缴纳了行政罚款；桑北煤矿、韩城市应急管理局有关责任人员责任追究建议已落实到位；其他追责问责建议已落实到位。</w:t>
      </w:r>
    </w:p>
    <w:p w14:paraId="41B91089">
      <w:pPr>
        <w:keepNext w:val="0"/>
        <w:keepLines w:val="0"/>
        <w:pageBreakBefore w:val="0"/>
        <w:kinsoku/>
        <w:wordWrap/>
        <w:topLinePunct w:val="0"/>
        <w:bidi w:val="0"/>
        <w:adjustRightInd w:val="0"/>
        <w:snapToGrid w:val="0"/>
        <w:spacing w:line="560" w:lineRule="exact"/>
        <w:ind w:firstLine="594" w:firstLineChars="200"/>
        <w:rPr>
          <w:rFonts w:ascii="黑体" w:hAnsi="黑体" w:eastAsia="黑体" w:cs="黑体"/>
          <w:szCs w:val="32"/>
        </w:rPr>
      </w:pPr>
      <w:r>
        <w:rPr>
          <w:rFonts w:hint="eastAsia" w:ascii="黑体" w:hAnsi="黑体" w:eastAsia="黑体" w:cs="黑体"/>
          <w:szCs w:val="32"/>
        </w:rPr>
        <w:t>四、存在的问题和工作建议</w:t>
      </w:r>
    </w:p>
    <w:p w14:paraId="5FDAE6C5">
      <w:pPr>
        <w:keepNext w:val="0"/>
        <w:keepLines w:val="0"/>
        <w:pageBreakBefore w:val="0"/>
        <w:kinsoku/>
        <w:wordWrap/>
        <w:topLinePunct w:val="0"/>
        <w:bidi w:val="0"/>
        <w:spacing w:line="560" w:lineRule="exact"/>
        <w:ind w:firstLine="594" w:firstLineChars="200"/>
        <w:rPr>
          <w:rFonts w:hint="eastAsia" w:ascii="楷体_GB2312" w:hAnsi="楷体_GB2312" w:eastAsia="楷体_GB2312" w:cs="楷体_GB2312"/>
        </w:rPr>
      </w:pPr>
      <w:r>
        <w:rPr>
          <w:rFonts w:hint="eastAsia" w:ascii="楷体_GB2312" w:hAnsi="楷体_GB2312" w:eastAsia="楷体_GB2312" w:cs="楷体_GB2312"/>
        </w:rPr>
        <w:t>（一）存在的问题</w:t>
      </w:r>
    </w:p>
    <w:p w14:paraId="2A0E9321">
      <w:pPr>
        <w:keepNext w:val="0"/>
        <w:keepLines w:val="0"/>
        <w:pageBreakBefore w:val="0"/>
        <w:kinsoku/>
        <w:wordWrap/>
        <w:topLinePunct w:val="0"/>
        <w:bidi w:val="0"/>
        <w:spacing w:line="560" w:lineRule="exact"/>
        <w:ind w:firstLine="594" w:firstLineChars="200"/>
        <w:rPr>
          <w:rFonts w:hint="eastAsia" w:ascii="楷体_GB2312" w:hAnsi="楷体_GB2312" w:eastAsia="楷体_GB2312" w:cs="楷体_GB2312"/>
          <w:lang w:eastAsia="zh-CN"/>
        </w:rPr>
      </w:pPr>
      <w:r>
        <w:rPr>
          <w:rFonts w:hint="eastAsia" w:ascii="楷体_GB2312" w:hAnsi="楷体_GB2312" w:eastAsia="楷体_GB2312" w:cs="楷体_GB2312"/>
          <w:lang w:val="en-US" w:eastAsia="zh-CN"/>
        </w:rPr>
        <w:t>1.煤矿</w:t>
      </w:r>
      <w:r>
        <w:rPr>
          <w:rFonts w:hint="eastAsia" w:ascii="楷体_GB2312" w:hAnsi="楷体_GB2312" w:eastAsia="楷体_GB2312" w:cs="楷体_GB2312"/>
        </w:rPr>
        <w:t>企业层面</w:t>
      </w:r>
      <w:r>
        <w:rPr>
          <w:rFonts w:hint="eastAsia" w:ascii="楷体_GB2312" w:hAnsi="楷体_GB2312" w:eastAsia="楷体_GB2312" w:cs="楷体_GB2312"/>
          <w:lang w:eastAsia="zh-CN"/>
        </w:rPr>
        <w:t>：</w:t>
      </w:r>
    </w:p>
    <w:p w14:paraId="750D35CD">
      <w:pPr>
        <w:keepNext w:val="0"/>
        <w:keepLines w:val="0"/>
        <w:pageBreakBefore w:val="0"/>
        <w:kinsoku/>
        <w:wordWrap/>
        <w:topLinePunct w:val="0"/>
        <w:bidi w:val="0"/>
        <w:spacing w:line="560" w:lineRule="exact"/>
        <w:ind w:firstLine="594" w:firstLineChars="200"/>
        <w:rPr>
          <w:rFonts w:hint="eastAsia" w:ascii="仿宋_GB2312" w:hAnsi="仿宋_GB2312" w:eastAsia="仿宋_GB2312" w:cs="仿宋_GB2312"/>
        </w:rPr>
      </w:pPr>
      <w:r>
        <w:rPr>
          <w:rFonts w:hint="eastAsia" w:ascii="仿宋_GB2312" w:hAnsi="仿宋_GB2312" w:eastAsia="仿宋_GB2312" w:cs="仿宋_GB2312"/>
          <w:b/>
          <w:bCs/>
        </w:rPr>
        <w:t>一是</w:t>
      </w:r>
      <w:r>
        <w:rPr>
          <w:rFonts w:hint="eastAsia" w:ascii="仿宋_GB2312" w:hAnsi="仿宋_GB2312" w:eastAsia="仿宋_GB2312" w:cs="仿宋_GB2312"/>
        </w:rPr>
        <w:t>桑北煤矿12302综放工作面回采完毕后，现接续11306工作面采用一次采全高工艺</w:t>
      </w:r>
      <w:r>
        <w:rPr>
          <w:rFonts w:hint="eastAsia" w:ascii="仿宋_GB2312" w:hAnsi="仿宋_GB2312" w:eastAsia="仿宋_GB2312" w:cs="仿宋_GB2312"/>
          <w:lang w:eastAsia="zh-CN"/>
        </w:rPr>
        <w:t>，</w:t>
      </w:r>
      <w:r>
        <w:rPr>
          <w:rFonts w:hint="eastAsia" w:ascii="仿宋_GB2312" w:hAnsi="仿宋_GB2312" w:eastAsia="仿宋_GB2312" w:cs="仿宋_GB2312"/>
        </w:rPr>
        <w:t>矿井对新设备、新工艺的操作规程、安全措施制定和人员培训存在欠缺。</w:t>
      </w:r>
      <w:r>
        <w:rPr>
          <w:rFonts w:hint="eastAsia" w:ascii="仿宋_GB2312" w:hAnsi="仿宋_GB2312" w:eastAsia="仿宋_GB2312" w:cs="仿宋_GB2312"/>
          <w:b/>
          <w:bCs/>
        </w:rPr>
        <w:t>二是</w:t>
      </w:r>
      <w:r>
        <w:rPr>
          <w:rFonts w:hint="eastAsia" w:ascii="仿宋_GB2312" w:hAnsi="仿宋_GB2312" w:eastAsia="仿宋_GB2312" w:cs="仿宋_GB2312"/>
        </w:rPr>
        <w:t>矿井治本攻坚三年行动制定的年度攻坚任务推动缓慢。如推动实施“透明地质”等工作还未完成。</w:t>
      </w:r>
      <w:r>
        <w:rPr>
          <w:rFonts w:hint="eastAsia" w:ascii="仿宋_GB2312" w:hAnsi="仿宋_GB2312" w:eastAsia="仿宋_GB2312" w:cs="仿宋_GB2312"/>
          <w:b/>
          <w:bCs/>
        </w:rPr>
        <w:t>三是</w:t>
      </w:r>
      <w:bookmarkStart w:id="4" w:name="_Toc1356262578"/>
      <w:r>
        <w:rPr>
          <w:rFonts w:hint="eastAsia" w:ascii="仿宋_GB2312" w:hAnsi="仿宋_GB2312" w:eastAsia="仿宋_GB2312" w:cs="仿宋_GB2312"/>
        </w:rPr>
        <w:t>综合利用技防、人防等手段有效杜绝人员违章方面还有差距。通过现场检查、视频监控等方法发现“三违”现象依然存在。</w:t>
      </w:r>
    </w:p>
    <w:p w14:paraId="3C88E4F8">
      <w:pPr>
        <w:keepNext w:val="0"/>
        <w:keepLines w:val="0"/>
        <w:pageBreakBefore w:val="0"/>
        <w:kinsoku/>
        <w:wordWrap/>
        <w:topLinePunct w:val="0"/>
        <w:bidi w:val="0"/>
        <w:spacing w:line="560" w:lineRule="exact"/>
        <w:ind w:firstLine="594" w:firstLineChars="200"/>
        <w:rPr>
          <w:rFonts w:hint="eastAsia" w:ascii="楷体_GB2312" w:hAnsi="楷体_GB2312" w:eastAsia="楷体_GB2312" w:cs="楷体_GB2312"/>
          <w:lang w:eastAsia="zh-CN"/>
        </w:rPr>
      </w:pPr>
      <w:r>
        <w:rPr>
          <w:rFonts w:hint="eastAsia" w:ascii="楷体_GB2312" w:hAnsi="楷体_GB2312" w:eastAsia="楷体_GB2312" w:cs="楷体_GB2312"/>
          <w:lang w:val="en-US" w:eastAsia="zh-CN"/>
        </w:rPr>
        <w:t>2.</w:t>
      </w:r>
      <w:r>
        <w:rPr>
          <w:rFonts w:hint="eastAsia" w:ascii="楷体_GB2312" w:hAnsi="楷体_GB2312" w:eastAsia="楷体_GB2312" w:cs="楷体_GB2312"/>
        </w:rPr>
        <w:t>政府</w:t>
      </w:r>
      <w:r>
        <w:rPr>
          <w:rFonts w:hint="eastAsia" w:ascii="楷体_GB2312" w:hAnsi="楷体_GB2312" w:eastAsia="楷体_GB2312" w:cs="楷体_GB2312"/>
          <w:lang w:val="en-US" w:eastAsia="zh-CN"/>
        </w:rPr>
        <w:t>及监管部门</w:t>
      </w:r>
      <w:r>
        <w:rPr>
          <w:rFonts w:hint="eastAsia" w:ascii="楷体_GB2312" w:hAnsi="楷体_GB2312" w:eastAsia="楷体_GB2312" w:cs="楷体_GB2312"/>
        </w:rPr>
        <w:t>层面</w:t>
      </w:r>
      <w:bookmarkEnd w:id="4"/>
      <w:r>
        <w:rPr>
          <w:rFonts w:hint="eastAsia" w:ascii="楷体_GB2312" w:hAnsi="楷体_GB2312" w:eastAsia="楷体_GB2312" w:cs="楷体_GB2312"/>
          <w:lang w:eastAsia="zh-CN"/>
        </w:rPr>
        <w:t>：</w:t>
      </w:r>
    </w:p>
    <w:p w14:paraId="4ADA7ACB">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一是</w:t>
      </w:r>
      <w:r>
        <w:rPr>
          <w:rFonts w:hint="eastAsia" w:ascii="仿宋_GB2312" w:hAnsi="仿宋_GB2312" w:eastAsia="仿宋_GB2312" w:cs="仿宋_GB2312"/>
        </w:rPr>
        <w:t>韩城市推动灾害严重煤矿智能化建设缓慢，兴隆煤矿、盘龙煤矿等矿井按目前建设进度，2025年底</w:t>
      </w:r>
      <w:r>
        <w:rPr>
          <w:rFonts w:hint="eastAsia" w:ascii="仿宋_GB2312" w:hAnsi="仿宋_GB2312" w:eastAsia="仿宋_GB2312" w:cs="仿宋_GB2312"/>
          <w:lang w:val="en-US" w:eastAsia="zh-CN"/>
        </w:rPr>
        <w:t>前</w:t>
      </w:r>
      <w:r>
        <w:rPr>
          <w:rFonts w:hint="eastAsia" w:ascii="仿宋_GB2312" w:hAnsi="仿宋_GB2312" w:eastAsia="仿宋_GB2312" w:cs="仿宋_GB2312"/>
        </w:rPr>
        <w:t>难以完成攻坚任务。</w:t>
      </w:r>
      <w:r>
        <w:rPr>
          <w:rFonts w:hint="eastAsia" w:ascii="仿宋_GB2312" w:hAnsi="仿宋_GB2312" w:eastAsia="仿宋_GB2312" w:cs="仿宋_GB2312"/>
          <w:b/>
          <w:bCs/>
        </w:rPr>
        <w:t>二是</w:t>
      </w:r>
      <w:r>
        <w:rPr>
          <w:rFonts w:hint="eastAsia" w:ascii="仿宋_GB2312" w:hAnsi="仿宋_GB2312" w:eastAsia="仿宋_GB2312" w:cs="仿宋_GB2312"/>
        </w:rPr>
        <w:t>韩城市“三个一批”实施方案落实进展缓慢，如杏树沟、后洞沟煤矿资源整合进展缓慢。</w:t>
      </w:r>
    </w:p>
    <w:p w14:paraId="7892777A">
      <w:pPr>
        <w:pStyle w:val="9"/>
        <w:keepNext w:val="0"/>
        <w:keepLines w:val="0"/>
        <w:pageBreakBefore w:val="0"/>
        <w:kinsoku/>
        <w:wordWrap/>
        <w:topLinePunct w:val="0"/>
        <w:bidi w:val="0"/>
        <w:snapToGrid w:val="0"/>
        <w:spacing w:line="560" w:lineRule="exact"/>
        <w:ind w:firstLine="594" w:firstLineChars="200"/>
        <w:jc w:val="both"/>
        <w:rPr>
          <w:rFonts w:ascii="楷体_GB2312" w:hAnsi="楷体_GB2312" w:eastAsia="楷体_GB2312" w:cs="楷体_GB2312"/>
          <w:sz w:val="32"/>
          <w:szCs w:val="32"/>
          <w:highlight w:val="yellow"/>
        </w:rPr>
      </w:pPr>
      <w:r>
        <w:rPr>
          <w:rFonts w:hint="eastAsia" w:ascii="楷体_GB2312" w:hAnsi="楷体_GB2312" w:eastAsia="楷体_GB2312" w:cs="楷体_GB2312"/>
          <w:sz w:val="32"/>
          <w:szCs w:val="32"/>
        </w:rPr>
        <w:t>（二）工作建议</w:t>
      </w:r>
    </w:p>
    <w:p w14:paraId="13CC99EE">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rPr>
        <w:t>韩城市要进一步落实属地监管责任，夯实辖区煤矿企业主体责任，树牢“两个至上”安全理念，抓实抓细各项工作，坚决筑牢安全防线。</w:t>
      </w:r>
    </w:p>
    <w:p w14:paraId="562AB7BC">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1.要进一步树牢安全发展理念。</w:t>
      </w:r>
      <w:r>
        <w:rPr>
          <w:rFonts w:hint="eastAsia" w:ascii="仿宋_GB2312" w:hAnsi="仿宋_GB2312" w:eastAsia="仿宋_GB2312" w:cs="仿宋_GB2312"/>
        </w:rPr>
        <w:t>韩城市委、市政府要切实提高政治站位，深入学习贯彻习近平总书记关于安全生产的重要指示批示精神，进一步增强防范化解重大安全风险的责任感、使命感、紧迫感，紧盯辖区煤矿灾害耦合风险，超前谋划“十五五”期间市域煤矿安全生产规划部署。持续建立健全政府、部门、企业安全生产责任体系，不断提升煤矿安全管理水平。</w:t>
      </w:r>
    </w:p>
    <w:p w14:paraId="48EFFF23">
      <w:pPr>
        <w:keepNext w:val="0"/>
        <w:keepLines w:val="0"/>
        <w:pageBreakBefore w:val="0"/>
        <w:kinsoku/>
        <w:wordWrap/>
        <w:topLinePunct w:val="0"/>
        <w:bidi w:val="0"/>
        <w:spacing w:line="560" w:lineRule="exact"/>
        <w:ind w:firstLine="594" w:firstLineChars="200"/>
        <w:rPr>
          <w:rFonts w:ascii="仿宋_GB2312" w:hAnsi="仿宋_GB2312" w:eastAsia="仿宋_GB2312" w:cs="仿宋_GB2312"/>
        </w:rPr>
      </w:pPr>
      <w:r>
        <w:rPr>
          <w:rFonts w:hint="eastAsia" w:ascii="仿宋_GB2312" w:hAnsi="仿宋_GB2312" w:eastAsia="仿宋_GB2312" w:cs="仿宋_GB2312"/>
          <w:b/>
          <w:bCs/>
        </w:rPr>
        <w:t>2.要进一步夯实企业安全主体责任。</w:t>
      </w:r>
      <w:r>
        <w:rPr>
          <w:rFonts w:hint="eastAsia" w:ascii="仿宋_GB2312" w:hAnsi="仿宋_GB2312" w:eastAsia="仿宋_GB2312" w:cs="仿宋_GB2312"/>
        </w:rPr>
        <w:t>要督促桑北煤矿认真贯彻落实安全生产治本攻坚三年行动要求，确保两办《意见》“八条硬措施”《煤矿安全生产条例》落实到位，切实提高风险隐患排查整改质量，大力提升从业人员素质。进一步修订完善托管合同条款，明确责任分工、费用提取、结算方式等内容，推动解决制约煤矿企业安全稳定高效发展重大问题，杜绝整体托管“两张皮”现象。</w:t>
      </w:r>
    </w:p>
    <w:p w14:paraId="1C488618">
      <w:pPr>
        <w:pStyle w:val="10"/>
        <w:keepNext w:val="0"/>
        <w:keepLines w:val="0"/>
        <w:pageBreakBefore w:val="0"/>
        <w:kinsoku/>
        <w:wordWrap/>
        <w:topLinePunct w:val="0"/>
        <w:bidi w:val="0"/>
        <w:adjustRightInd w:val="0"/>
        <w:snapToGrid w:val="0"/>
        <w:spacing w:line="560" w:lineRule="exact"/>
        <w:ind w:firstLine="593"/>
        <w:rPr>
          <w:rFonts w:ascii="仿宋_GB2312" w:hAnsi="仿宋_GB2312" w:eastAsia="仿宋_GB2312" w:cs="仿宋_GB2312"/>
          <w:kern w:val="0"/>
          <w:szCs w:val="32"/>
          <w:shd w:val="clear" w:color="080000" w:fill="FFFFFF"/>
        </w:rPr>
      </w:pPr>
    </w:p>
    <w:p w14:paraId="528FE154">
      <w:pPr>
        <w:pStyle w:val="10"/>
        <w:keepNext w:val="0"/>
        <w:keepLines w:val="0"/>
        <w:pageBreakBefore w:val="0"/>
        <w:kinsoku/>
        <w:wordWrap/>
        <w:topLinePunct w:val="0"/>
        <w:bidi w:val="0"/>
        <w:adjustRightInd w:val="0"/>
        <w:snapToGrid w:val="0"/>
        <w:spacing w:line="560" w:lineRule="exact"/>
        <w:ind w:firstLine="593"/>
        <w:rPr>
          <w:rFonts w:ascii="仿宋_GB2312" w:hAnsi="仿宋_GB2312" w:eastAsia="仿宋_GB2312" w:cs="仿宋_GB2312"/>
          <w:kern w:val="0"/>
          <w:szCs w:val="32"/>
          <w:shd w:val="clear" w:color="080000" w:fill="FFFFFF"/>
        </w:rPr>
      </w:pPr>
    </w:p>
    <w:p w14:paraId="2FDF7B24">
      <w:pPr>
        <w:keepNext w:val="0"/>
        <w:keepLines w:val="0"/>
        <w:pageBreakBefore w:val="0"/>
        <w:kinsoku/>
        <w:wordWrap/>
        <w:topLinePunct w:val="0"/>
        <w:bidi w:val="0"/>
        <w:spacing w:line="560" w:lineRule="exact"/>
      </w:pPr>
    </w:p>
    <w:p w14:paraId="1853AEAA">
      <w:pPr>
        <w:keepNext w:val="0"/>
        <w:keepLines w:val="0"/>
        <w:pageBreakBefore w:val="0"/>
        <w:kinsoku/>
        <w:wordWrap/>
        <w:topLinePunct w:val="0"/>
        <w:bidi w:val="0"/>
        <w:spacing w:line="560" w:lineRule="exact"/>
      </w:pPr>
    </w:p>
    <w:sectPr>
      <w:footerReference r:id="rId3" w:type="default"/>
      <w:pgSz w:w="11906" w:h="16839"/>
      <w:pgMar w:top="1440" w:right="1800" w:bottom="1440" w:left="1800" w:header="0" w:footer="0" w:gutter="0"/>
      <w:cols w:space="0" w:num="1"/>
      <w:docGrid w:type="linesAndChars" w:linePitch="634" w:charSpace="-478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Arial Narrow">
    <w:altName w:val="DejaVu Sans"/>
    <w:panose1 w:val="020B0606020202030204"/>
    <w:charset w:val="00"/>
    <w:family w:val="swiss"/>
    <w:pitch w:val="default"/>
    <w:sig w:usb0="00000000" w:usb1="00000000" w:usb2="00000000" w:usb3="00000000" w:csb0="2000009F" w:csb1="DFD70000"/>
  </w:font>
  <w:font w:name="汉鼎简书宋">
    <w:altName w:val="方正书宋_GBK"/>
    <w:panose1 w:val="00000000000000000000"/>
    <w:charset w:val="86"/>
    <w:family w:val="modern"/>
    <w:pitch w:val="default"/>
    <w:sig w:usb0="00000000" w:usb1="00000000" w:usb2="0000001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微软雅黑">
    <w:altName w:val="方正黑体_GBK"/>
    <w:panose1 w:val="00000000000000000000"/>
    <w:charset w:val="00"/>
    <w:family w:val="auto"/>
    <w:pitch w:val="default"/>
    <w:sig w:usb0="00000000" w:usb1="00000000" w:usb2="00000000" w:usb3="00000000" w:csb0="00000000" w:csb1="00000000"/>
  </w:font>
  <w:font w:name="Tahoma">
    <w:altName w:val="noto sans thai"/>
    <w:panose1 w:val="00000000000000000000"/>
    <w:charset w:val="00"/>
    <w:family w:val="auto"/>
    <w:pitch w:val="default"/>
    <w:sig w:usb0="00000000" w:usb1="00000000" w:usb2="00000000" w:usb3="00000000" w:csb0="00000000" w:csb1="00000000"/>
  </w:font>
  <w:font w:name="noto sans thai">
    <w:panose1 w:val="020B0502040504020204"/>
    <w:charset w:val="00"/>
    <w:family w:val="auto"/>
    <w:pitch w:val="default"/>
    <w:sig w:usb0="81000063" w:usb1="00002000" w:usb2="00000000" w:usb3="00000000" w:csb0="0001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E78CD">
    <w:pPr>
      <w:pStyle w:val="3"/>
      <w:jc w:val="cente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89535" cy="230505"/>
              <wp:effectExtent l="0" t="0" r="5715" b="17145"/>
              <wp:wrapNone/>
              <wp:docPr id="1" name="文本框 1"/>
              <wp:cNvGraphicFramePr/>
              <a:graphic xmlns:a="http://schemas.openxmlformats.org/drawingml/2006/main">
                <a:graphicData uri="http://schemas.microsoft.com/office/word/2010/wordprocessingShape">
                  <wps:wsp>
                    <wps:cNvSpPr txBox="1"/>
                    <wps:spPr>
                      <a:xfrm>
                        <a:off x="0" y="0"/>
                        <a:ext cx="89535" cy="230505"/>
                      </a:xfrm>
                      <a:prstGeom prst="rect">
                        <a:avLst/>
                      </a:prstGeom>
                      <a:noFill/>
                      <a:ln>
                        <a:noFill/>
                      </a:ln>
                    </wps:spPr>
                    <wps:txbx>
                      <w:txbxContent>
                        <w:p w14:paraId="779A9DFB">
                          <w:pPr>
                            <w:pStyle w:val="3"/>
                            <w:jc w:val="cente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lang w:val="zh-CN"/>
                            </w:rPr>
                            <w:t>10</w:t>
                          </w:r>
                          <w:r>
                            <w:rPr>
                              <w:rFonts w:hint="eastAsia" w:ascii="宋体" w:hAnsi="宋体" w:cs="宋体"/>
                              <w:sz w:val="28"/>
                              <w:szCs w:val="28"/>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8.15pt;width:7.05pt;mso-position-horizontal:outside;mso-position-horizontal-relative:margin;mso-wrap-style:none;z-index:251659264;mso-width-relative:page;mso-height-relative:page;" filled="f" stroked="f" coordsize="21600,21600" o:gfxdata="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duqXsNEAAAADAQAADwAAAAAAAAABACAAAAAiAAAAZHJzL2Rvd25yZXYueG1s&#10;UEsBAhQAFAAAAAgAh07iQNNkARPGAQAAigMAAA4AAAAAAAAAAQAgAAAAIAEAAGRycy9lMm9Eb2Mu&#10;eG1sUEsFBgAAAAAGAAYAWQEAAFgFAAAAAA==&#10;">
              <v:fill on="f" focussize="0,0"/>
              <v:stroke on="f"/>
              <v:imagedata o:title=""/>
              <o:lock v:ext="edit" aspectratio="f"/>
              <v:textbox inset="0mm,0mm,0mm,0mm" style="mso-fit-shape-to-text:t;">
                <w:txbxContent>
                  <w:p w14:paraId="779A9DFB">
                    <w:pPr>
                      <w:pStyle w:val="3"/>
                      <w:jc w:val="cente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lang w:val="zh-CN"/>
                      </w:rPr>
                      <w:t>10</w:t>
                    </w:r>
                    <w:r>
                      <w:rPr>
                        <w:rFonts w:hint="eastAsia" w:ascii="宋体" w:hAnsi="宋体" w:cs="宋体"/>
                        <w:sz w:val="28"/>
                        <w:szCs w:val="28"/>
                      </w:rPr>
                      <w:fldChar w:fldCharType="end"/>
                    </w:r>
                  </w:p>
                </w:txbxContent>
              </v:textbox>
            </v:shape>
          </w:pict>
        </mc:Fallback>
      </mc:AlternateContent>
    </w:r>
  </w:p>
  <w:p w14:paraId="0BA29138">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embedSystemFonts/>
  <w:bordersDoNotSurroundHeader w:val="1"/>
  <w:bordersDoNotSurroundFooter w:val="1"/>
  <w:documentProtection w:enforcement="0"/>
  <w:defaultTabStop w:val="420"/>
  <w:drawingGridHorizontalSpacing w:val="148"/>
  <w:drawingGridVerticalSpacing w:val="317"/>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0E5E"/>
    <w:rsid w:val="000B0E5E"/>
    <w:rsid w:val="0018099E"/>
    <w:rsid w:val="002D4F8A"/>
    <w:rsid w:val="002E3778"/>
    <w:rsid w:val="003C0BE4"/>
    <w:rsid w:val="003D6A5C"/>
    <w:rsid w:val="00423B99"/>
    <w:rsid w:val="004C0C1F"/>
    <w:rsid w:val="00522102"/>
    <w:rsid w:val="00525DBD"/>
    <w:rsid w:val="005A091C"/>
    <w:rsid w:val="005F1833"/>
    <w:rsid w:val="006B7AE2"/>
    <w:rsid w:val="006F27D5"/>
    <w:rsid w:val="008D3E85"/>
    <w:rsid w:val="00BA6AAE"/>
    <w:rsid w:val="00BC1609"/>
    <w:rsid w:val="00BF2265"/>
    <w:rsid w:val="00D55657"/>
    <w:rsid w:val="00D8716D"/>
    <w:rsid w:val="04826D2E"/>
    <w:rsid w:val="072E6CF9"/>
    <w:rsid w:val="07F341CA"/>
    <w:rsid w:val="0808754A"/>
    <w:rsid w:val="08AA23AF"/>
    <w:rsid w:val="090C7CD1"/>
    <w:rsid w:val="09B2776D"/>
    <w:rsid w:val="09DC7DB0"/>
    <w:rsid w:val="0BC87D97"/>
    <w:rsid w:val="0BF00A21"/>
    <w:rsid w:val="0C56193E"/>
    <w:rsid w:val="0EF10D38"/>
    <w:rsid w:val="0F454863"/>
    <w:rsid w:val="0F531859"/>
    <w:rsid w:val="10240C99"/>
    <w:rsid w:val="11494E5B"/>
    <w:rsid w:val="11D010D8"/>
    <w:rsid w:val="12456CBA"/>
    <w:rsid w:val="12774963"/>
    <w:rsid w:val="128B1070"/>
    <w:rsid w:val="133B6A25"/>
    <w:rsid w:val="14D7277E"/>
    <w:rsid w:val="150D2643"/>
    <w:rsid w:val="15213C56"/>
    <w:rsid w:val="1730606B"/>
    <w:rsid w:val="18041ADC"/>
    <w:rsid w:val="19706CFD"/>
    <w:rsid w:val="19EA7915"/>
    <w:rsid w:val="19FC6162"/>
    <w:rsid w:val="1B1219A7"/>
    <w:rsid w:val="1CC96E50"/>
    <w:rsid w:val="1D331864"/>
    <w:rsid w:val="1D4961E3"/>
    <w:rsid w:val="1DAE4D4F"/>
    <w:rsid w:val="1E984D2C"/>
    <w:rsid w:val="1F6E3CDF"/>
    <w:rsid w:val="1FA11974"/>
    <w:rsid w:val="20635B7C"/>
    <w:rsid w:val="211B39F2"/>
    <w:rsid w:val="21584C46"/>
    <w:rsid w:val="23B109AB"/>
    <w:rsid w:val="246F4469"/>
    <w:rsid w:val="248A5117"/>
    <w:rsid w:val="24D72693"/>
    <w:rsid w:val="2610789E"/>
    <w:rsid w:val="26331379"/>
    <w:rsid w:val="26F70A5D"/>
    <w:rsid w:val="27196C26"/>
    <w:rsid w:val="279E2283"/>
    <w:rsid w:val="2A0750A9"/>
    <w:rsid w:val="2A3A313B"/>
    <w:rsid w:val="2A7A5C2D"/>
    <w:rsid w:val="2C3A43BB"/>
    <w:rsid w:val="2D1011A5"/>
    <w:rsid w:val="2E0B376C"/>
    <w:rsid w:val="2E1D6FFC"/>
    <w:rsid w:val="2E221C8E"/>
    <w:rsid w:val="2FE60777"/>
    <w:rsid w:val="31375CD1"/>
    <w:rsid w:val="31403E41"/>
    <w:rsid w:val="314B20D2"/>
    <w:rsid w:val="322546D1"/>
    <w:rsid w:val="33D50F32"/>
    <w:rsid w:val="3544428E"/>
    <w:rsid w:val="35845BB2"/>
    <w:rsid w:val="35B634FE"/>
    <w:rsid w:val="370C40B1"/>
    <w:rsid w:val="38C31392"/>
    <w:rsid w:val="39096AFA"/>
    <w:rsid w:val="394538AA"/>
    <w:rsid w:val="3A8F1281"/>
    <w:rsid w:val="3C705D66"/>
    <w:rsid w:val="3CD411CD"/>
    <w:rsid w:val="3D9A2417"/>
    <w:rsid w:val="3DB8289D"/>
    <w:rsid w:val="3EFB0C93"/>
    <w:rsid w:val="412905F6"/>
    <w:rsid w:val="413310B3"/>
    <w:rsid w:val="418D13E5"/>
    <w:rsid w:val="426E4935"/>
    <w:rsid w:val="42AB0C22"/>
    <w:rsid w:val="43DD305D"/>
    <w:rsid w:val="443F7636"/>
    <w:rsid w:val="45651270"/>
    <w:rsid w:val="46427D4E"/>
    <w:rsid w:val="47121270"/>
    <w:rsid w:val="474E3196"/>
    <w:rsid w:val="47A740D4"/>
    <w:rsid w:val="48D82045"/>
    <w:rsid w:val="4A371726"/>
    <w:rsid w:val="4D151ABA"/>
    <w:rsid w:val="4D267823"/>
    <w:rsid w:val="4E9B5FEF"/>
    <w:rsid w:val="500C2A05"/>
    <w:rsid w:val="50663E73"/>
    <w:rsid w:val="508348BF"/>
    <w:rsid w:val="50F25C6E"/>
    <w:rsid w:val="51112598"/>
    <w:rsid w:val="53F57F4F"/>
    <w:rsid w:val="54175631"/>
    <w:rsid w:val="55B61CEB"/>
    <w:rsid w:val="56505911"/>
    <w:rsid w:val="56AF17FC"/>
    <w:rsid w:val="56C65BD3"/>
    <w:rsid w:val="56F17A3D"/>
    <w:rsid w:val="574735EC"/>
    <w:rsid w:val="58AB6E2E"/>
    <w:rsid w:val="59254E33"/>
    <w:rsid w:val="5A2275C4"/>
    <w:rsid w:val="5A276988"/>
    <w:rsid w:val="5AD22D98"/>
    <w:rsid w:val="5AE76118"/>
    <w:rsid w:val="5CAE513F"/>
    <w:rsid w:val="5E306AE0"/>
    <w:rsid w:val="5E3B2D6F"/>
    <w:rsid w:val="5EBA7DC4"/>
    <w:rsid w:val="5F516338"/>
    <w:rsid w:val="5F8C6432"/>
    <w:rsid w:val="60141108"/>
    <w:rsid w:val="60DA4B7E"/>
    <w:rsid w:val="630B6593"/>
    <w:rsid w:val="645C0927"/>
    <w:rsid w:val="65FF6A0B"/>
    <w:rsid w:val="66D47E98"/>
    <w:rsid w:val="67954113"/>
    <w:rsid w:val="67B0692B"/>
    <w:rsid w:val="68EE6345"/>
    <w:rsid w:val="69C0E909"/>
    <w:rsid w:val="6A1C5DDE"/>
    <w:rsid w:val="6A425119"/>
    <w:rsid w:val="6B403D4E"/>
    <w:rsid w:val="6C663340"/>
    <w:rsid w:val="6D0668D1"/>
    <w:rsid w:val="6DCC18C9"/>
    <w:rsid w:val="6F2838E9"/>
    <w:rsid w:val="719646C8"/>
    <w:rsid w:val="72914E8F"/>
    <w:rsid w:val="733817AF"/>
    <w:rsid w:val="736C1141"/>
    <w:rsid w:val="73846F32"/>
    <w:rsid w:val="750D03A6"/>
    <w:rsid w:val="75671ED7"/>
    <w:rsid w:val="75782B5C"/>
    <w:rsid w:val="767174B1"/>
    <w:rsid w:val="76F047AD"/>
    <w:rsid w:val="77F7DA02"/>
    <w:rsid w:val="783C790D"/>
    <w:rsid w:val="784532D2"/>
    <w:rsid w:val="788F3C1F"/>
    <w:rsid w:val="78A3591C"/>
    <w:rsid w:val="79FD2E0A"/>
    <w:rsid w:val="7A7C6425"/>
    <w:rsid w:val="7D233BA1"/>
    <w:rsid w:val="7DF40194"/>
    <w:rsid w:val="7F0013D2"/>
    <w:rsid w:val="7F6F0306"/>
    <w:rsid w:val="EEB7EEFC"/>
    <w:rsid w:val="FBFFF3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32"/>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11"/>
    <w:qFormat/>
    <w:uiPriority w:val="0"/>
    <w:pPr>
      <w:spacing w:after="120"/>
    </w:pPr>
    <w:rPr>
      <w:rFonts w:cs="黑体"/>
      <w:sz w:val="21"/>
      <w:szCs w:val="24"/>
    </w:rPr>
  </w:style>
  <w:style w:type="paragraph" w:styleId="3">
    <w:name w:val="footer"/>
    <w:basedOn w:val="1"/>
    <w:link w:val="7"/>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脚 Char"/>
    <w:basedOn w:val="6"/>
    <w:link w:val="3"/>
    <w:qFormat/>
    <w:uiPriority w:val="99"/>
    <w:rPr>
      <w:rFonts w:ascii="Calibri" w:hAnsi="Calibri" w:eastAsia="宋体" w:cs="Times New Roman"/>
      <w:sz w:val="18"/>
      <w:szCs w:val="18"/>
    </w:rPr>
  </w:style>
  <w:style w:type="character" w:customStyle="1" w:styleId="8">
    <w:name w:val="页眉 Char"/>
    <w:basedOn w:val="6"/>
    <w:link w:val="4"/>
    <w:semiHidden/>
    <w:qFormat/>
    <w:uiPriority w:val="99"/>
    <w:rPr>
      <w:rFonts w:ascii="Calibri" w:hAnsi="Calibri" w:eastAsia="宋体" w:cs="Times New Roman"/>
      <w:sz w:val="18"/>
      <w:szCs w:val="18"/>
    </w:rPr>
  </w:style>
  <w:style w:type="paragraph" w:customStyle="1" w:styleId="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styleId="10">
    <w:name w:val="List Paragraph"/>
    <w:basedOn w:val="1"/>
    <w:qFormat/>
    <w:uiPriority w:val="99"/>
    <w:pPr>
      <w:ind w:firstLine="420" w:firstLineChars="200"/>
    </w:pPr>
  </w:style>
  <w:style w:type="character" w:customStyle="1" w:styleId="11">
    <w:name w:val="正文文本 Char"/>
    <w:basedOn w:val="6"/>
    <w:link w:val="2"/>
    <w:qFormat/>
    <w:uiPriority w:val="0"/>
    <w:rPr>
      <w:rFonts w:ascii="Calibri" w:hAnsi="Calibri" w:eastAsia="宋体" w:cs="黑体"/>
      <w:kern w:val="2"/>
      <w:sz w:val="21"/>
      <w:szCs w:val="24"/>
    </w:rPr>
  </w:style>
  <w:style w:type="paragraph" w:customStyle="1" w:styleId="12">
    <w:name w:val="正式文本"/>
    <w:basedOn w:val="1"/>
    <w:qFormat/>
    <w:uiPriority w:val="0"/>
    <w:pPr>
      <w:spacing w:line="500" w:lineRule="exact"/>
      <w:ind w:firstLine="200" w:firstLineChars="200"/>
    </w:pPr>
    <w:rPr>
      <w:rFonts w:ascii="Arial Narrow" w:hAnsi="Arial Narrow" w:eastAsia="汉鼎简书宋"/>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xmlns="http://schemas.wps.cn/vas-ai-hub/contract-review">
    <reviewItem xmlns="http://schemas.wps.cn/vas-ai-hub/contract-review">
      <errorID xmlns="http://schemas.wps.cn/vas-ai-hub/contract-review">999fd6ab-7e46-421b-9520-868bf8c11053</errorID>
      <errorWord xmlns="http://schemas.wps.cn/vas-ai-hub/contract-review">2.企业相关责任人处分落实情况。</errorWord>
      <group xmlns="http://schemas.wps.cn/vas-ai-hub/contract-review">L1_AI</group>
      <groupName xmlns="http://schemas.wps.cn/vas-ai-hub/contract-review">深度校对</groupName>
      <ability xmlns="http://schemas.wps.cn/vas-ai-hub/contract-review">L2_AI_Title</ability>
      <abilityName xmlns="http://schemas.wps.cn/vas-ai-hub/contract-review">标题检查</abilityName>
      <candidateList xmlns="http://schemas.wps.cn/vas-ai-hub/contract-review"/>
      <explain xmlns="http://schemas.wps.cn/vas-ai-hub/contract-review">相邻标题序号不连续。在‘1.行政处罚落实情况。’后，应按顺序为‘2.企业相关责任人处分落实情况。’‘3.相关公职人员处分落实情况。’‘4.事故责任单位的处理建议落实情况。’，但原文本‘2.企业相关责任人处分落实情况。’和‘3.相关公职人员处分落实情况。’‘4.事故责任单位的处理建议落实情况。’中‘2.’序号重复，正确顺序应为‘2.’之后是‘3.’，出现相邻标题序号不连续的问题；后续在其他同层级标题中也存在此类序号不连续问题，如‘2025年2月14日湖南楚湘建设工程集团……’和‘2025年2月6日陕西黄河矿业（集团）有限责任公司……’处，以及‘2025年3月21日，韩城市监察委员会……’处，均因序号重复导致相邻标题序号不连续。</explain>
      <paraID xmlns="http://schemas.wps.cn/vas-ai-hub/contract-review">1540EC6D</paraID>
      <start xmlns="http://schemas.wps.cn/vas-ai-hub/contract-review">0</start>
      <end xmlns="http://schemas.wps.cn/vas-ai-hub/contract-review">16</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4b9645c3-8fa1-43c6-b1cf-2fa1b19846e1</errorID>
      <errorWord xmlns="http://schemas.wps.cn/vas-ai-hub/contract-review">召开市委常委会</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召开市委常委会会议</item>
      </candidateList>
      <explain xmlns="http://schemas.wps.cn/vas-ai-hub/contract-review"/>
      <paraID xmlns="http://schemas.wps.cn/vas-ai-hub/contract-review">710D28EE</paraID>
      <start xmlns="http://schemas.wps.cn/vas-ai-hub/contract-review">25</start>
      <end xmlns="http://schemas.wps.cn/vas-ai-hub/contract-review">34</end>
      <status xmlns="http://schemas.wps.cn/vas-ai-hub/contract-review">modified</status>
      <modifiedWord xmlns="http://schemas.wps.cn/vas-ai-hub/contract-review">召开市委常委会会议</modifiedWord>
      <trackRevisions xmlns="http://schemas.wps.cn/vas-ai-hub/contract-review">false</trackRevisions>
    </reviewItem>
    <reviewItem xmlns="http://schemas.wps.cn/vas-ai-hub/contract-review">
      <errorID xmlns="http://schemas.wps.cn/vas-ai-hub/contract-review">7a7b3b96-e5ef-448a-adaf-4c2268508206</errorID>
      <errorWord xmlns="http://schemas.wps.cn/vas-ai-hub/contract-review">以及召开</errorWord>
      <group xmlns="http://schemas.wps.cn/vas-ai-hub/contract-review">L1_AI</group>
      <groupName xmlns="http://schemas.wps.cn/vas-ai-hub/contract-review">深度校对</groupName>
      <ability xmlns="http://schemas.wps.cn/vas-ai-hub/contract-review">L2_AI_Grammar</ability>
      <abilityName xmlns="http://schemas.wps.cn/vas-ai-hub/contract-review">语法纠错</abilityName>
      <candidateList xmlns="http://schemas.wps.cn/vas-ai-hub/contract-review">
        <item xmlns="http://schemas.wps.cn/vas-ai-hub/contract-review">召开</item>
      </candidateList>
      <explain xmlns="http://schemas.wps.cn/vas-ai-hub/contract-review"/>
      <paraID xmlns="http://schemas.wps.cn/vas-ai-hub/contract-review">710D28EE</paraID>
      <start xmlns="http://schemas.wps.cn/vas-ai-hub/contract-review">66</start>
      <end xmlns="http://schemas.wps.cn/vas-ai-hub/contract-review">68</end>
      <status xmlns="http://schemas.wps.cn/vas-ai-hub/contract-review">modified</status>
      <modifiedWord xmlns="http://schemas.wps.cn/vas-ai-hub/contract-review">召开</modifiedWord>
      <trackRevisions xmlns="http://schemas.wps.cn/vas-ai-hub/contract-review">false</trackRevisions>
    </reviewItem>
    <reviewItem xmlns="http://schemas.wps.cn/vas-ai-hub/contract-review">
      <errorID xmlns="http://schemas.wps.cn/vas-ai-hub/contract-review">6ddf7607-c8fd-491b-9f47-ef7d79f49c7f</errorID>
      <errorWord xmlns="http://schemas.wps.cn/vas-ai-hub/contract-review">紧急</errorWord>
      <group xmlns="http://schemas.wps.cn/vas-ai-hub/contract-review">L1_AI</group>
      <groupName xmlns="http://schemas.wps.cn/vas-ai-hub/contract-review">深度校对</groupName>
      <ability xmlns="http://schemas.wps.cn/vas-ai-hub/contract-review">L2_AI_Grammar</ability>
      <abilityName xmlns="http://schemas.wps.cn/vas-ai-hub/contract-review">语法纠错</abilityName>
      <candidateList xmlns="http://schemas.wps.cn/vas-ai-hub/contract-review">
        <item xmlns="http://schemas.wps.cn/vas-ai-hub/contract-review">韩城市应急管理局紧急</item>
      </candidateList>
      <explain xmlns="http://schemas.wps.cn/vas-ai-hub/contract-review"/>
      <paraID xmlns="http://schemas.wps.cn/vas-ai-hub/contract-review">7C98E18A</paraID>
      <start xmlns="http://schemas.wps.cn/vas-ai-hub/contract-review">46</start>
      <end xmlns="http://schemas.wps.cn/vas-ai-hub/contract-review">56</end>
      <status xmlns="http://schemas.wps.cn/vas-ai-hub/contract-review">modified</status>
      <modifiedWord xmlns="http://schemas.wps.cn/vas-ai-hub/contract-review">韩城市应急管理局紧急</modifiedWord>
      <trackRevisions xmlns="http://schemas.wps.cn/vas-ai-hub/contract-review">false</trackRevisions>
    </reviewItem>
  </reviewItems>
  <config xmlns="http://schemas.wps.cn/vas-ai-hub/contract-review"/>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5d6984-553a-4b49-82c4-18de58e347bd}">
  <ds:schemaRefs/>
</ds:datastoreItem>
</file>

<file path=docProps/app.xml><?xml version="1.0" encoding="utf-8"?>
<Properties xmlns="http://schemas.openxmlformats.org/officeDocument/2006/extended-properties" xmlns:vt="http://schemas.openxmlformats.org/officeDocument/2006/docPropsVTypes">
  <Template>Normal.dotm</Template>
  <Pages>9</Pages>
  <Words>4963</Words>
  <Characters>5168</Characters>
  <Lines>40</Lines>
  <Paragraphs>11</Paragraphs>
  <TotalTime>6</TotalTime>
  <ScaleCrop>false</ScaleCrop>
  <LinksUpToDate>false</LinksUpToDate>
  <CharactersWithSpaces>5168</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2025-11-20T17:45:00Z</dcterms:created>
  <dc:creator>冯昊</dc:creator>
  <cp:lastModifiedBy>kylin</cp:lastModifiedBy>
  <dcterms:modified xsi:type="dcterms:W3CDTF">2025-12-01T08:27:56Z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DC5CE028F7CC49A980FB19438BAAFD44_13</vt:lpwstr>
  </property>
  <property fmtid="{D5CDD505-2E9C-101B-9397-08002B2CF9AE}" pid="4" name="KSOTemplateDocerSaveRecord">
    <vt:lpwstr>eyJoZGlkIjoiMDkxYWIxYWRlZGIxNmJjYTAyYzhhMzI5YWI0Yzg2Y2EiLCJ1c2VySWQiOiI3NjQzMDMzMTgifQ==</vt:lpwstr>
  </property>
</Properties>
</file>