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527F9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color w:val="auto"/>
          <w:sz w:val="44"/>
          <w:szCs w:val="44"/>
          <w:lang w:eastAsia="zh-CN"/>
        </w:rPr>
      </w:pPr>
    </w:p>
    <w:p w14:paraId="3AAD18E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color w:val="auto"/>
          <w:sz w:val="44"/>
          <w:szCs w:val="44"/>
          <w:lang w:eastAsia="zh-CN"/>
        </w:rPr>
      </w:pPr>
      <w:r>
        <w:rPr>
          <w:rFonts w:hint="eastAsia" w:ascii="方正小标宋简体" w:hAnsi="方正小标宋简体" w:eastAsia="方正小标宋简体" w:cs="方正小标宋简体"/>
          <w:b w:val="0"/>
          <w:bCs w:val="0"/>
          <w:color w:val="auto"/>
          <w:sz w:val="44"/>
          <w:szCs w:val="44"/>
          <w:lang w:eastAsia="zh-CN"/>
        </w:rPr>
        <w:t>永寿县国电永寿煤业有限责任公司</w:t>
      </w:r>
    </w:p>
    <w:p w14:paraId="4FCF1F5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color w:val="auto"/>
          <w:sz w:val="44"/>
          <w:szCs w:val="44"/>
          <w:lang w:eastAsia="zh-CN"/>
        </w:rPr>
      </w:pPr>
      <w:r>
        <w:rPr>
          <w:rFonts w:hint="eastAsia" w:ascii="方正小标宋简体" w:hAnsi="方正小标宋简体" w:eastAsia="方正小标宋简体" w:cs="方正小标宋简体"/>
          <w:b w:val="0"/>
          <w:bCs w:val="0"/>
          <w:color w:val="auto"/>
          <w:sz w:val="44"/>
          <w:szCs w:val="44"/>
          <w:lang w:eastAsia="zh-CN"/>
        </w:rPr>
        <w:t>碾子沟煤矿“11·1”一般</w:t>
      </w:r>
      <w:r>
        <w:rPr>
          <w:rFonts w:hint="eastAsia" w:ascii="方正小标宋简体" w:hAnsi="方正小标宋简体" w:eastAsia="方正小标宋简体" w:cs="方正小标宋简体"/>
          <w:b w:val="0"/>
          <w:bCs w:val="0"/>
          <w:color w:val="auto"/>
          <w:sz w:val="44"/>
          <w:szCs w:val="44"/>
          <w:lang w:val="en-US" w:eastAsia="zh-CN"/>
        </w:rPr>
        <w:t>其他</w:t>
      </w:r>
      <w:r>
        <w:rPr>
          <w:rFonts w:hint="eastAsia" w:ascii="方正小标宋简体" w:hAnsi="方正小标宋简体" w:eastAsia="方正小标宋简体" w:cs="方正小标宋简体"/>
          <w:b w:val="0"/>
          <w:bCs w:val="0"/>
          <w:color w:val="auto"/>
          <w:sz w:val="44"/>
          <w:szCs w:val="44"/>
          <w:lang w:eastAsia="zh-CN"/>
        </w:rPr>
        <w:t>事故防范和</w:t>
      </w:r>
    </w:p>
    <w:p w14:paraId="2F5192E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color w:val="auto"/>
          <w:sz w:val="44"/>
          <w:szCs w:val="44"/>
          <w:lang w:eastAsia="zh-CN"/>
        </w:rPr>
      </w:pPr>
      <w:r>
        <w:rPr>
          <w:rFonts w:hint="eastAsia" w:ascii="方正小标宋简体" w:hAnsi="方正小标宋简体" w:eastAsia="方正小标宋简体" w:cs="方正小标宋简体"/>
          <w:b w:val="0"/>
          <w:bCs w:val="0"/>
          <w:color w:val="auto"/>
          <w:sz w:val="44"/>
          <w:szCs w:val="44"/>
          <w:lang w:eastAsia="zh-CN"/>
        </w:rPr>
        <w:t>整改措施落实情况评估报告</w:t>
      </w:r>
    </w:p>
    <w:p w14:paraId="35C1857B">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594" w:firstLineChars="200"/>
        <w:jc w:val="both"/>
        <w:textAlignment w:val="auto"/>
        <w:rPr>
          <w:rFonts w:hint="eastAsia" w:ascii="仿宋_GB2312" w:hAnsi="仿宋_GB2312" w:eastAsia="仿宋_GB2312" w:cs="仿宋_GB2312"/>
          <w:color w:val="auto"/>
          <w:sz w:val="32"/>
          <w:szCs w:val="32"/>
          <w:lang w:val="en-US" w:eastAsia="zh-CN"/>
        </w:rPr>
      </w:pPr>
    </w:p>
    <w:p w14:paraId="04E702D4">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594"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sz w:val="32"/>
          <w:szCs w:val="32"/>
          <w:highlight w:val="none"/>
          <w:lang w:val="en-US" w:eastAsia="zh-CN"/>
        </w:rPr>
        <w:t>2024年11月1日15时30分</w:t>
      </w:r>
      <w:r>
        <w:rPr>
          <w:rFonts w:hint="eastAsia" w:ascii="仿宋_GB2312" w:hAnsi="仿宋_GB2312" w:eastAsia="仿宋_GB2312" w:cs="仿宋_GB2312"/>
          <w:color w:val="auto"/>
          <w:sz w:val="32"/>
          <w:szCs w:val="32"/>
          <w:lang w:val="en-US" w:eastAsia="zh-CN"/>
        </w:rPr>
        <w:t>左右，永寿县国电永寿煤业有限责任公司碾子沟煤矿（以下简称“</w:t>
      </w:r>
      <w:r>
        <w:rPr>
          <w:rFonts w:hint="eastAsia" w:ascii="仿宋_GB2312" w:hAnsi="仿宋_GB2312" w:eastAsia="仿宋_GB2312" w:cs="仿宋_GB2312"/>
          <w:sz w:val="32"/>
          <w:szCs w:val="32"/>
          <w:highlight w:val="none"/>
          <w:lang w:val="en-US" w:eastAsia="zh-CN"/>
        </w:rPr>
        <w:t>碾子沟煤矿</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sz w:val="32"/>
          <w:szCs w:val="32"/>
          <w:highlight w:val="none"/>
          <w:lang w:val="en-US" w:eastAsia="zh-CN"/>
        </w:rPr>
        <w:t>101工作面运输巷超前支护段发生一起一般</w:t>
      </w:r>
      <w:r>
        <w:rPr>
          <w:rFonts w:hint="eastAsia" w:ascii="仿宋_GB2312" w:hAnsi="仿宋_GB2312" w:eastAsia="仿宋_GB2312" w:cs="仿宋_GB2312"/>
          <w:color w:val="auto"/>
          <w:sz w:val="32"/>
          <w:szCs w:val="32"/>
          <w:highlight w:val="none"/>
          <w:lang w:val="en-US" w:eastAsia="zh-CN"/>
        </w:rPr>
        <w:t>其他事故</w:t>
      </w:r>
      <w:r>
        <w:rPr>
          <w:rFonts w:hint="eastAsia" w:ascii="仿宋_GB2312" w:hAnsi="仿宋_GB2312" w:eastAsia="仿宋_GB2312" w:cs="仿宋_GB2312"/>
          <w:sz w:val="32"/>
          <w:szCs w:val="32"/>
          <w:highlight w:val="none"/>
          <w:lang w:val="en-US" w:eastAsia="zh-CN"/>
        </w:rPr>
        <w:t>，造成1人死亡，直接经济损失218.3万元</w:t>
      </w:r>
      <w:r>
        <w:rPr>
          <w:rFonts w:hint="eastAsia" w:ascii="仿宋_GB2312" w:hAnsi="仿宋_GB2312" w:eastAsia="仿宋_GB2312" w:cs="仿宋_GB2312"/>
          <w:color w:val="auto"/>
          <w:sz w:val="32"/>
          <w:szCs w:val="32"/>
          <w:lang w:val="en-US" w:eastAsia="zh-CN"/>
        </w:rPr>
        <w:t>。事故发生后，国家矿山安全监察局陕西局（以下简称“陕西局”）组织永寿县应急管理局、县公安局、县总工会等单位成立事故调查组，同时邀请永寿县纪委监委介入，对该起事故进行了调查。2024年12月10日，陕西局对该起事故予以批复结案。</w:t>
      </w:r>
    </w:p>
    <w:p w14:paraId="678C4C9D">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594"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按照《中华人民共和国安全生产法》《生产安全事故报告和调查处理条例》《生产安全事故防范和整改措施落实情况评估办法》《陕西省生产安全事故责任追究和整改措施落实情况评估暂行办法》《矿山生产安全事故报告和调查处理办法》等法律法规、规范性文件规定和</w:t>
      </w:r>
      <w:r>
        <w:rPr>
          <w:rFonts w:hint="eastAsia" w:ascii="仿宋_GB2312" w:hAnsi="仿宋_GB2312" w:eastAsia="仿宋_GB2312" w:cs="仿宋_GB2312"/>
          <w:color w:val="auto"/>
          <w:kern w:val="0"/>
          <w:sz w:val="32"/>
          <w:szCs w:val="32"/>
          <w:shd w:val="clear" w:color="080000" w:fill="FFFFFF"/>
          <w:lang w:eastAsia="zh-CN"/>
        </w:rPr>
        <w:t>事故批复要求</w:t>
      </w:r>
      <w:r>
        <w:rPr>
          <w:rFonts w:hint="eastAsia" w:ascii="仿宋_GB2312" w:hAnsi="仿宋_GB2312" w:eastAsia="仿宋_GB2312" w:cs="仿宋_GB2312"/>
          <w:color w:val="auto"/>
          <w:sz w:val="32"/>
          <w:szCs w:val="32"/>
          <w:lang w:val="en-US" w:eastAsia="zh-CN"/>
        </w:rPr>
        <w:t>，2025年11月18日至19日，陕西局组织原参加事故调查的单位成立评估工作组，对碾子沟煤矿“11·1”一般其他事故防范和整改措施落实情况开展现场评估。同时，邀请永寿县纪委监委派员参加，同步对事故有关责任单位及责任人员责任追究建议落实情况进行评估。现将有关情况报告如下：</w:t>
      </w:r>
    </w:p>
    <w:p w14:paraId="212460EE">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594" w:firstLineChars="200"/>
        <w:jc w:val="both"/>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一、评估工作过程</w:t>
      </w:r>
    </w:p>
    <w:p w14:paraId="151053C4">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594"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评估工作组在分别听取了碾子沟煤矿、永寿县人民政府关于碾子沟煤矿“11·1”一般其他事故防范和整改措施落实情况汇报后，按照评估工作方案，采取资料审查、座谈问询、查阅文件和走访调查等方式，对事故责任追究意见落实情况、事故防范和整改措施落实情况进行了评估，形成了评估意见，指出了存在的问题及工作建议。</w:t>
      </w:r>
    </w:p>
    <w:p w14:paraId="651D19BF">
      <w:pPr>
        <w:pStyle w:val="8"/>
        <w:keepNext w:val="0"/>
        <w:keepLines w:val="0"/>
        <w:pageBreakBefore w:val="0"/>
        <w:widowControl w:val="0"/>
        <w:kinsoku/>
        <w:wordWrap/>
        <w:overflowPunct/>
        <w:topLinePunct w:val="0"/>
        <w:bidi w:val="0"/>
        <w:adjustRightInd w:val="0"/>
        <w:snapToGrid w:val="0"/>
        <w:spacing w:line="560" w:lineRule="exact"/>
        <w:ind w:left="0" w:leftChars="0" w:firstLine="594" w:firstLineChars="200"/>
        <w:jc w:val="both"/>
        <w:textAlignment w:val="auto"/>
        <w:rPr>
          <w:rFonts w:hint="eastAsia" w:ascii="黑体" w:hAnsi="黑体" w:eastAsia="黑体" w:cs="黑体"/>
          <w:b w:val="0"/>
          <w:bCs w:val="0"/>
          <w:color w:val="auto"/>
          <w:sz w:val="32"/>
          <w:szCs w:val="32"/>
          <w:highlight w:val="none"/>
          <w:lang w:val="en-US" w:eastAsia="zh-CN"/>
        </w:rPr>
      </w:pPr>
      <w:r>
        <w:rPr>
          <w:rFonts w:hint="eastAsia" w:ascii="黑体" w:hAnsi="黑体" w:eastAsia="黑体" w:cs="黑体"/>
          <w:b w:val="0"/>
          <w:bCs w:val="0"/>
          <w:color w:val="auto"/>
          <w:sz w:val="32"/>
          <w:szCs w:val="32"/>
          <w:highlight w:val="none"/>
          <w:lang w:val="en-US" w:eastAsia="zh-CN"/>
        </w:rPr>
        <w:t>二、重点评估内容</w:t>
      </w:r>
    </w:p>
    <w:p w14:paraId="3BB20769">
      <w:pPr>
        <w:pStyle w:val="8"/>
        <w:keepNext w:val="0"/>
        <w:keepLines w:val="0"/>
        <w:pageBreakBefore w:val="0"/>
        <w:widowControl w:val="0"/>
        <w:kinsoku/>
        <w:wordWrap/>
        <w:overflowPunct/>
        <w:topLinePunct w:val="0"/>
        <w:bidi w:val="0"/>
        <w:adjustRightInd w:val="0"/>
        <w:snapToGrid w:val="0"/>
        <w:spacing w:line="560" w:lineRule="exact"/>
        <w:ind w:left="0" w:leftChars="0" w:firstLine="594" w:firstLineChars="200"/>
        <w:jc w:val="both"/>
        <w:textAlignment w:val="auto"/>
        <w:rPr>
          <w:rFonts w:hint="eastAsia" w:ascii="楷体_GB2312" w:hAnsi="Times New Roman" w:eastAsia="楷体_GB2312"/>
          <w:color w:val="auto"/>
          <w:sz w:val="32"/>
          <w:szCs w:val="32"/>
          <w:highlight w:val="none"/>
        </w:rPr>
      </w:pPr>
      <w:r>
        <w:rPr>
          <w:rFonts w:hint="eastAsia" w:ascii="楷体_GB2312" w:hAnsi="Times New Roman" w:eastAsia="楷体_GB2312"/>
          <w:color w:val="auto"/>
          <w:sz w:val="32"/>
          <w:szCs w:val="32"/>
          <w:highlight w:val="none"/>
        </w:rPr>
        <w:t>（一）事故责任追究意见落实情况</w:t>
      </w:r>
    </w:p>
    <w:p w14:paraId="36688811">
      <w:pPr>
        <w:keepNext w:val="0"/>
        <w:keepLines w:val="0"/>
        <w:pageBreakBefore w:val="0"/>
        <w:kinsoku/>
        <w:wordWrap/>
        <w:overflowPunct/>
        <w:topLinePunct w:val="0"/>
        <w:bidi w:val="0"/>
        <w:adjustRightInd w:val="0"/>
        <w:snapToGrid w:val="0"/>
        <w:spacing w:line="560" w:lineRule="exact"/>
        <w:ind w:left="0" w:leftChars="0" w:firstLine="594" w:firstLineChars="200"/>
        <w:jc w:val="both"/>
        <w:textAlignment w:val="auto"/>
        <w:rPr>
          <w:rFonts w:hint="eastAsia" w:ascii="仿宋_GB2312" w:hAnsi="仿宋_GB2312" w:eastAsia="仿宋_GB2312" w:cs="仿宋_GB2312"/>
          <w:kern w:val="0"/>
          <w:sz w:val="32"/>
          <w:szCs w:val="32"/>
          <w:highlight w:val="yellow"/>
          <w:shd w:val="clear" w:color="080000" w:fill="FFFFFF"/>
        </w:rPr>
      </w:pPr>
      <w:r>
        <w:rPr>
          <w:rFonts w:hint="eastAsia" w:ascii="仿宋_GB2312" w:hAnsi="仿宋_GB2312" w:eastAsia="仿宋_GB2312" w:cs="仿宋_GB2312"/>
          <w:b/>
          <w:bCs/>
          <w:color w:val="auto"/>
          <w:sz w:val="32"/>
          <w:szCs w:val="32"/>
        </w:rPr>
        <w:t>1.</w:t>
      </w:r>
      <w:r>
        <w:rPr>
          <w:rFonts w:hint="eastAsia" w:ascii="仿宋_GB2312" w:hAnsi="仿宋_GB2312" w:eastAsia="仿宋_GB2312" w:cs="仿宋_GB2312"/>
          <w:b/>
          <w:bCs/>
          <w:sz w:val="32"/>
          <w:szCs w:val="32"/>
        </w:rPr>
        <w:t>行政处罚落实情况</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lang w:val="en-US" w:eastAsia="zh-CN"/>
        </w:rPr>
        <w:t>2025年1月2日，国家矿山安全监察局陕西局向碾子沟煤矿16名有关责任人下达了行政处罚决定书（陕煤安监五罚〔2025〕37001号至37016号），合计罚款97.296万元。截至2025年3月7日，行政罚款全部缴纳到位。</w:t>
      </w:r>
    </w:p>
    <w:p w14:paraId="34938874">
      <w:pPr>
        <w:keepNext w:val="0"/>
        <w:keepLines w:val="0"/>
        <w:pageBreakBefore w:val="0"/>
        <w:kinsoku/>
        <w:wordWrap/>
        <w:overflowPunct/>
        <w:topLinePunct w:val="0"/>
        <w:bidi w:val="0"/>
        <w:adjustRightInd w:val="0"/>
        <w:snapToGrid w:val="0"/>
        <w:spacing w:line="560" w:lineRule="exact"/>
        <w:ind w:left="0" w:leftChars="0" w:firstLine="594" w:firstLineChars="200"/>
        <w:jc w:val="both"/>
        <w:textAlignment w:val="auto"/>
        <w:rPr>
          <w:rFonts w:hint="eastAsia" w:ascii="仿宋_GB2312" w:hAnsi="仿宋_GB2312" w:eastAsia="仿宋_GB2312" w:cs="仿宋_GB2312"/>
          <w:kern w:val="0"/>
          <w:sz w:val="32"/>
          <w:szCs w:val="32"/>
          <w:highlight w:val="yellow"/>
          <w:shd w:val="clear" w:color="080000" w:fill="FFFFFF"/>
        </w:rPr>
      </w:pPr>
      <w:r>
        <w:rPr>
          <w:rFonts w:hint="eastAsia" w:ascii="仿宋_GB2312" w:hAnsi="仿宋_GB2312" w:eastAsia="仿宋_GB2312" w:cs="仿宋_GB2312"/>
          <w:b/>
          <w:bCs/>
          <w:color w:val="auto"/>
          <w:sz w:val="32"/>
          <w:szCs w:val="32"/>
          <w:lang w:val="en-US" w:eastAsia="zh-CN"/>
        </w:rPr>
        <w:t>2</w:t>
      </w:r>
      <w:r>
        <w:rPr>
          <w:rFonts w:hint="eastAsia" w:ascii="仿宋_GB2312" w:hAnsi="仿宋_GB2312" w:eastAsia="仿宋_GB2312" w:cs="仿宋_GB2312"/>
          <w:b/>
          <w:bCs/>
          <w:color w:val="auto"/>
          <w:sz w:val="32"/>
          <w:szCs w:val="32"/>
        </w:rPr>
        <w:t>.企业相关责任人处分落实情况</w:t>
      </w:r>
      <w:r>
        <w:rPr>
          <w:rFonts w:hint="eastAsia" w:ascii="仿宋_GB2312" w:hAnsi="仿宋_GB2312" w:eastAsia="仿宋_GB2312" w:cs="仿宋_GB2312"/>
          <w:b/>
          <w:bCs/>
          <w:color w:val="auto"/>
          <w:sz w:val="32"/>
          <w:szCs w:val="32"/>
          <w:lang w:eastAsia="zh-CN"/>
        </w:rPr>
        <w:t>。</w:t>
      </w:r>
      <w:r>
        <w:rPr>
          <w:rFonts w:hint="eastAsia" w:ascii="仿宋_GB2312" w:hAnsi="仿宋_GB2312" w:eastAsia="仿宋_GB2312" w:cs="仿宋_GB2312"/>
          <w:b w:val="0"/>
          <w:bCs w:val="0"/>
          <w:color w:val="auto"/>
          <w:sz w:val="32"/>
          <w:szCs w:val="32"/>
          <w:lang w:val="en-US" w:eastAsia="zh-CN"/>
        </w:rPr>
        <w:t>2024年11月12日，国电永寿煤业有限责任公司以永煤司发〔2024〕190号文件撤销碾子沟煤矿矿长职务；2024年12月11日，国电永寿煤业有限责任公司以永煤司发〔2024〕202号文件将碾子沟煤矿当班安检员调离岗位，并给予安全副总工程师兼安监部长、安全矿长、总工程师、生产矿长等4人党纪政务处分</w:t>
      </w:r>
      <w:r>
        <w:rPr>
          <w:rFonts w:hint="eastAsia" w:ascii="仿宋_GB2312" w:hAnsi="仿宋_GB2312" w:eastAsia="仿宋_GB2312" w:cs="仿宋_GB2312"/>
          <w:kern w:val="2"/>
          <w:sz w:val="32"/>
          <w:szCs w:val="32"/>
          <w:highlight w:val="none"/>
          <w:lang w:val="en-US" w:eastAsia="zh-CN" w:bidi="ar-SA"/>
        </w:rPr>
        <w:t>。</w:t>
      </w:r>
    </w:p>
    <w:p w14:paraId="53E87D79">
      <w:pPr>
        <w:keepNext w:val="0"/>
        <w:keepLines w:val="0"/>
        <w:pageBreakBefore w:val="0"/>
        <w:widowControl/>
        <w:kinsoku/>
        <w:wordWrap/>
        <w:overflowPunct/>
        <w:topLinePunct w:val="0"/>
        <w:bidi w:val="0"/>
        <w:spacing w:line="560" w:lineRule="exact"/>
        <w:ind w:left="0" w:leftChars="0" w:firstLine="594" w:firstLineChars="200"/>
        <w:jc w:val="both"/>
        <w:textAlignment w:val="auto"/>
        <w:rPr>
          <w:rFonts w:hint="eastAsia" w:ascii="仿宋_GB2312" w:hAnsi="仿宋_GB2312" w:eastAsia="仿宋_GB2312" w:cs="仿宋_GB2312"/>
          <w:kern w:val="0"/>
          <w:sz w:val="32"/>
          <w:szCs w:val="32"/>
          <w:highlight w:val="yellow"/>
          <w:shd w:val="clear" w:color="080000" w:fill="FFFFFF"/>
        </w:rPr>
      </w:pPr>
      <w:r>
        <w:rPr>
          <w:rFonts w:hint="eastAsia" w:ascii="仿宋_GB2312" w:hAnsi="仿宋_GB2312" w:eastAsia="仿宋_GB2312" w:cs="仿宋_GB2312"/>
          <w:b/>
          <w:bCs/>
          <w:color w:val="auto"/>
          <w:sz w:val="32"/>
          <w:szCs w:val="32"/>
          <w:lang w:val="en-US" w:eastAsia="zh-CN"/>
        </w:rPr>
        <w:t>3</w:t>
      </w: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b/>
          <w:bCs/>
          <w:color w:val="auto"/>
          <w:sz w:val="32"/>
          <w:szCs w:val="32"/>
          <w:lang w:val="en-US" w:eastAsia="zh-CN"/>
        </w:rPr>
        <w:t>施工、监理单位</w:t>
      </w:r>
      <w:r>
        <w:rPr>
          <w:rFonts w:hint="eastAsia" w:ascii="仿宋_GB2312" w:hAnsi="仿宋_GB2312" w:eastAsia="仿宋_GB2312" w:cs="仿宋_GB2312"/>
          <w:b/>
          <w:bCs/>
          <w:color w:val="auto"/>
          <w:sz w:val="32"/>
          <w:szCs w:val="32"/>
        </w:rPr>
        <w:t>相关责任人处分落实情况</w:t>
      </w:r>
      <w:r>
        <w:rPr>
          <w:rFonts w:hint="eastAsia" w:ascii="仿宋_GB2312" w:hAnsi="仿宋_GB2312" w:eastAsia="仿宋_GB2312" w:cs="仿宋_GB2312"/>
          <w:b/>
          <w:bCs/>
          <w:color w:val="auto"/>
          <w:sz w:val="32"/>
          <w:szCs w:val="32"/>
          <w:lang w:eastAsia="zh-CN"/>
        </w:rPr>
        <w:t>。</w:t>
      </w:r>
      <w:r>
        <w:rPr>
          <w:rFonts w:hint="eastAsia" w:ascii="仿宋_GB2312" w:hAnsi="仿宋_GB2312" w:eastAsia="仿宋_GB2312" w:cs="仿宋_GB2312"/>
          <w:b w:val="0"/>
          <w:bCs w:val="0"/>
          <w:color w:val="auto"/>
          <w:sz w:val="32"/>
          <w:szCs w:val="32"/>
          <w:lang w:val="en-US" w:eastAsia="zh-CN"/>
        </w:rPr>
        <w:t>2024年11月12日，山西惠安煤矿建设工程有限公司以惠安司发〔2024〕10号文件免去国电永寿项目部项目经理、机电组组长、副队长、安全副经理、技术副经理职务；2024年11月12日，山西惠安煤矿建设工程有限公司以惠安司发〔2024〕12号文件免去国电永寿项目部安装队队长职务；2024年12月19日，山西惠安煤矿建设工程有限公司以惠安司发〔2024〕16号文件给予安全生产技术部部长、总经理党纪政务处分；2024年11月15日，</w:t>
      </w:r>
      <w:r>
        <w:rPr>
          <w:rFonts w:hint="eastAsia" w:ascii="仿宋_GB2312" w:hAnsi="仿宋_GB2312" w:eastAsia="仿宋_GB2312" w:cs="仿宋_GB2312"/>
          <w:color w:val="auto"/>
          <w:kern w:val="2"/>
          <w:sz w:val="32"/>
          <w:szCs w:val="32"/>
          <w:highlight w:val="none"/>
          <w:lang w:val="en-US" w:eastAsia="zh-CN" w:bidi="ar-SA"/>
        </w:rPr>
        <w:t>山西惠安</w:t>
      </w:r>
      <w:r>
        <w:rPr>
          <w:rFonts w:hint="eastAsia" w:ascii="仿宋_GB2312" w:hAnsi="仿宋_GB2312" w:eastAsia="仿宋_GB2312" w:cs="仿宋_GB2312"/>
          <w:b w:val="0"/>
          <w:bCs w:val="0"/>
          <w:color w:val="auto"/>
          <w:sz w:val="32"/>
          <w:szCs w:val="32"/>
          <w:lang w:val="en-US" w:eastAsia="zh-CN"/>
        </w:rPr>
        <w:t>煤矿建设工程有限公司</w:t>
      </w:r>
      <w:r>
        <w:rPr>
          <w:rFonts w:hint="eastAsia" w:ascii="仿宋_GB2312" w:hAnsi="仿宋_GB2312" w:eastAsia="仿宋_GB2312" w:cs="仿宋_GB2312"/>
          <w:color w:val="auto"/>
          <w:kern w:val="2"/>
          <w:sz w:val="32"/>
          <w:szCs w:val="32"/>
          <w:highlight w:val="none"/>
          <w:lang w:val="en-US" w:eastAsia="zh-CN" w:bidi="ar-SA"/>
        </w:rPr>
        <w:t>与</w:t>
      </w:r>
      <w:r>
        <w:rPr>
          <w:rFonts w:hint="default" w:ascii="仿宋_GB2312" w:hAnsi="仿宋_GB2312" w:eastAsia="仿宋_GB2312" w:cs="仿宋_GB2312"/>
          <w:color w:val="auto"/>
          <w:kern w:val="2"/>
          <w:sz w:val="32"/>
          <w:szCs w:val="32"/>
          <w:highlight w:val="none"/>
          <w:lang w:val="en-US" w:eastAsia="zh-CN" w:bidi="ar-SA"/>
        </w:rPr>
        <w:t>碾子沟项目部安装队</w:t>
      </w:r>
      <w:r>
        <w:rPr>
          <w:rFonts w:hint="eastAsia" w:ascii="仿宋_GB2312" w:hAnsi="仿宋_GB2312" w:eastAsia="仿宋_GB2312" w:cs="仿宋_GB2312"/>
          <w:color w:val="auto"/>
          <w:kern w:val="2"/>
          <w:sz w:val="32"/>
          <w:szCs w:val="32"/>
          <w:highlight w:val="none"/>
          <w:lang w:val="en-US" w:eastAsia="zh-CN" w:bidi="ar-SA"/>
        </w:rPr>
        <w:t>当班</w:t>
      </w:r>
      <w:r>
        <w:rPr>
          <w:rFonts w:hint="default" w:ascii="仿宋_GB2312" w:hAnsi="仿宋_GB2312" w:eastAsia="仿宋_GB2312" w:cs="仿宋_GB2312"/>
          <w:color w:val="auto"/>
          <w:kern w:val="2"/>
          <w:sz w:val="32"/>
          <w:szCs w:val="32"/>
          <w:highlight w:val="none"/>
          <w:lang w:val="en-US" w:eastAsia="zh-CN" w:bidi="ar-SA"/>
        </w:rPr>
        <w:t>班长</w:t>
      </w:r>
      <w:r>
        <w:rPr>
          <w:rFonts w:hint="eastAsia" w:ascii="仿宋_GB2312" w:hAnsi="仿宋_GB2312" w:eastAsia="仿宋_GB2312" w:cs="仿宋_GB2312"/>
          <w:color w:val="auto"/>
          <w:kern w:val="2"/>
          <w:sz w:val="32"/>
          <w:szCs w:val="32"/>
          <w:highlight w:val="none"/>
          <w:lang w:val="en-US" w:eastAsia="zh-CN" w:bidi="ar-SA"/>
        </w:rPr>
        <w:t>解除劳动合同；2024年12月14日，中煤陕西中安项目管理有限责任公司给予碾子沟监理部总监理工程师</w:t>
      </w:r>
      <w:r>
        <w:rPr>
          <w:rFonts w:hint="eastAsia" w:ascii="仿宋_GB2312" w:hAnsi="仿宋_GB2312" w:eastAsia="仿宋_GB2312" w:cs="仿宋_GB2312"/>
          <w:b w:val="0"/>
          <w:bCs w:val="0"/>
          <w:color w:val="auto"/>
          <w:sz w:val="32"/>
          <w:szCs w:val="32"/>
          <w:lang w:val="en-US" w:eastAsia="zh-CN"/>
        </w:rPr>
        <w:t>政务处分</w:t>
      </w:r>
      <w:r>
        <w:rPr>
          <w:rFonts w:hint="eastAsia" w:ascii="仿宋_GB2312" w:hAnsi="仿宋_GB2312" w:eastAsia="仿宋_GB2312" w:cs="仿宋_GB2312"/>
          <w:color w:val="auto"/>
          <w:kern w:val="2"/>
          <w:sz w:val="32"/>
          <w:szCs w:val="32"/>
          <w:highlight w:val="none"/>
          <w:lang w:val="en-US" w:eastAsia="zh-CN" w:bidi="ar-SA"/>
        </w:rPr>
        <w:t>。</w:t>
      </w:r>
    </w:p>
    <w:p w14:paraId="6FBBF813">
      <w:pPr>
        <w:keepNext w:val="0"/>
        <w:keepLines w:val="0"/>
        <w:pageBreakBefore w:val="0"/>
        <w:kinsoku/>
        <w:wordWrap/>
        <w:overflowPunct/>
        <w:topLinePunct w:val="0"/>
        <w:bidi w:val="0"/>
        <w:spacing w:line="560" w:lineRule="exact"/>
        <w:ind w:left="0" w:leftChars="0" w:firstLine="594" w:firstLineChars="200"/>
        <w:jc w:val="both"/>
        <w:textAlignment w:val="auto"/>
        <w:rPr>
          <w:rFonts w:hint="eastAsia" w:ascii="仿宋_GB2312" w:hAnsi="仿宋_GB2312" w:eastAsia="仿宋_GB2312" w:cs="仿宋_GB2312"/>
          <w:i w:val="0"/>
          <w:iCs w:val="0"/>
          <w:color w:val="auto"/>
          <w:kern w:val="2"/>
          <w:sz w:val="32"/>
          <w:szCs w:val="32"/>
          <w:highlight w:val="none"/>
          <w:lang w:val="en-US" w:eastAsia="zh-CN" w:bidi="ar-SA"/>
        </w:rPr>
      </w:pPr>
      <w:r>
        <w:rPr>
          <w:rFonts w:hint="eastAsia" w:ascii="仿宋_GB2312" w:hAnsi="仿宋_GB2312" w:eastAsia="仿宋_GB2312" w:cs="仿宋_GB2312"/>
          <w:b/>
          <w:bCs/>
          <w:color w:val="auto"/>
          <w:sz w:val="32"/>
          <w:szCs w:val="32"/>
          <w:lang w:val="en-US" w:eastAsia="zh-CN"/>
        </w:rPr>
        <w:t>4</w:t>
      </w:r>
      <w:r>
        <w:rPr>
          <w:rFonts w:hint="eastAsia" w:ascii="仿宋_GB2312" w:hAnsi="仿宋_GB2312" w:eastAsia="仿宋_GB2312" w:cs="仿宋_GB2312"/>
          <w:b/>
          <w:bCs/>
          <w:color w:val="auto"/>
          <w:sz w:val="32"/>
          <w:szCs w:val="32"/>
        </w:rPr>
        <w:t>.相关公职人员处分落实情况</w:t>
      </w:r>
      <w:r>
        <w:rPr>
          <w:rFonts w:hint="eastAsia" w:ascii="仿宋_GB2312" w:hAnsi="仿宋_GB2312" w:eastAsia="仿宋_GB2312" w:cs="仿宋_GB2312"/>
          <w:b/>
          <w:bCs/>
          <w:color w:val="auto"/>
          <w:sz w:val="32"/>
          <w:szCs w:val="32"/>
          <w:lang w:eastAsia="zh-CN"/>
        </w:rPr>
        <w:t>。</w:t>
      </w:r>
      <w:r>
        <w:rPr>
          <w:rFonts w:hint="eastAsia" w:ascii="仿宋_GB2312" w:hAnsi="仿宋_GB2312" w:eastAsia="仿宋_GB2312" w:cs="仿宋_GB2312"/>
          <w:color w:val="auto"/>
          <w:kern w:val="0"/>
          <w:sz w:val="32"/>
          <w:szCs w:val="32"/>
          <w:highlight w:val="none"/>
          <w:shd w:val="clear" w:color="080000" w:fill="FFFFFF"/>
          <w:lang w:val="en-US" w:eastAsia="zh-CN"/>
        </w:rPr>
        <w:t>2025年3月31日，咸阳市纪委以咸纪函</w:t>
      </w:r>
      <w:r>
        <w:rPr>
          <w:rFonts w:hint="eastAsia" w:ascii="仿宋_GB2312" w:hAnsi="仿宋_GB2312" w:eastAsia="仿宋_GB2312" w:cs="仿宋_GB2312"/>
          <w:color w:val="auto"/>
          <w:kern w:val="0"/>
          <w:sz w:val="32"/>
          <w:szCs w:val="32"/>
          <w:highlight w:val="none"/>
          <w:shd w:val="clear" w:color="080000" w:fill="FFFFFF"/>
        </w:rPr>
        <w:t>〔202</w:t>
      </w:r>
      <w:r>
        <w:rPr>
          <w:rFonts w:hint="eastAsia" w:ascii="仿宋_GB2312" w:hAnsi="仿宋_GB2312" w:eastAsia="仿宋_GB2312" w:cs="仿宋_GB2312"/>
          <w:color w:val="auto"/>
          <w:kern w:val="0"/>
          <w:sz w:val="32"/>
          <w:szCs w:val="32"/>
          <w:highlight w:val="none"/>
          <w:shd w:val="clear" w:color="080000" w:fill="FFFFFF"/>
          <w:lang w:val="en-US" w:eastAsia="zh-CN"/>
        </w:rPr>
        <w:t>5</w:t>
      </w:r>
      <w:r>
        <w:rPr>
          <w:rFonts w:hint="eastAsia" w:ascii="仿宋_GB2312" w:hAnsi="仿宋_GB2312" w:eastAsia="仿宋_GB2312" w:cs="仿宋_GB2312"/>
          <w:color w:val="auto"/>
          <w:kern w:val="0"/>
          <w:sz w:val="32"/>
          <w:szCs w:val="32"/>
          <w:highlight w:val="none"/>
          <w:shd w:val="clear" w:color="080000" w:fill="FFFFFF"/>
        </w:rPr>
        <w:t>〕</w:t>
      </w:r>
      <w:r>
        <w:rPr>
          <w:rFonts w:hint="eastAsia" w:ascii="仿宋_GB2312" w:hAnsi="仿宋_GB2312" w:eastAsia="仿宋_GB2312" w:cs="仿宋_GB2312"/>
          <w:color w:val="auto"/>
          <w:kern w:val="0"/>
          <w:sz w:val="32"/>
          <w:szCs w:val="32"/>
          <w:highlight w:val="none"/>
          <w:shd w:val="clear" w:color="080000" w:fill="FFFFFF"/>
          <w:lang w:val="en-US" w:eastAsia="zh-CN"/>
        </w:rPr>
        <w:t>11</w:t>
      </w:r>
      <w:r>
        <w:rPr>
          <w:rFonts w:hint="eastAsia" w:ascii="仿宋_GB2312" w:hAnsi="仿宋_GB2312" w:eastAsia="仿宋_GB2312" w:cs="仿宋_GB2312"/>
          <w:color w:val="auto"/>
          <w:kern w:val="0"/>
          <w:sz w:val="32"/>
          <w:szCs w:val="32"/>
          <w:highlight w:val="none"/>
          <w:shd w:val="clear" w:color="080000" w:fill="FFFFFF"/>
        </w:rPr>
        <w:t>号</w:t>
      </w:r>
      <w:r>
        <w:rPr>
          <w:rFonts w:hint="eastAsia" w:ascii="仿宋_GB2312" w:hAnsi="仿宋_GB2312" w:eastAsia="仿宋_GB2312" w:cs="仿宋_GB2312"/>
          <w:color w:val="auto"/>
          <w:kern w:val="0"/>
          <w:sz w:val="32"/>
          <w:szCs w:val="32"/>
          <w:highlight w:val="none"/>
          <w:shd w:val="clear" w:color="080000" w:fill="FFFFFF"/>
          <w:lang w:val="en-US" w:eastAsia="zh-CN"/>
        </w:rPr>
        <w:t>给予</w:t>
      </w:r>
      <w:r>
        <w:rPr>
          <w:rFonts w:hint="eastAsia" w:ascii="仿宋_GB2312" w:hAnsi="仿宋_GB2312" w:eastAsia="仿宋_GB2312" w:cs="仿宋_GB2312"/>
          <w:i w:val="0"/>
          <w:iCs w:val="0"/>
          <w:color w:val="auto"/>
          <w:kern w:val="2"/>
          <w:sz w:val="32"/>
          <w:szCs w:val="32"/>
          <w:highlight w:val="none"/>
          <w:lang w:val="en-US" w:eastAsia="zh-CN" w:bidi="ar-SA"/>
        </w:rPr>
        <w:t>永寿县联系包保碾子沟煤矿县领导责令检查处理。</w:t>
      </w:r>
    </w:p>
    <w:p w14:paraId="2B942F00">
      <w:pPr>
        <w:keepNext w:val="0"/>
        <w:keepLines w:val="0"/>
        <w:pageBreakBefore w:val="0"/>
        <w:kinsoku/>
        <w:wordWrap/>
        <w:overflowPunct/>
        <w:topLinePunct w:val="0"/>
        <w:bidi w:val="0"/>
        <w:spacing w:line="560" w:lineRule="exact"/>
        <w:ind w:left="0" w:leftChars="0" w:firstLine="594" w:firstLineChars="200"/>
        <w:jc w:val="both"/>
        <w:textAlignment w:val="auto"/>
        <w:rPr>
          <w:rFonts w:hint="eastAsia" w:ascii="仿宋_GB2312" w:hAnsi="仿宋_GB2312" w:eastAsia="仿宋_GB2312" w:cs="仿宋_GB2312"/>
          <w:color w:val="auto"/>
          <w:kern w:val="0"/>
          <w:sz w:val="32"/>
          <w:szCs w:val="32"/>
          <w:highlight w:val="yellow"/>
          <w:shd w:val="clear" w:color="080000" w:fill="FFFFFF"/>
        </w:rPr>
      </w:pPr>
      <w:r>
        <w:rPr>
          <w:rFonts w:hint="eastAsia" w:ascii="仿宋_GB2312" w:hAnsi="仿宋_GB2312" w:eastAsia="仿宋_GB2312" w:cs="仿宋_GB2312"/>
          <w:color w:val="auto"/>
          <w:kern w:val="0"/>
          <w:sz w:val="32"/>
          <w:szCs w:val="32"/>
          <w:shd w:val="clear" w:color="080000" w:fill="FFFFFF"/>
          <w:lang w:val="en-US" w:eastAsia="zh-CN"/>
        </w:rPr>
        <w:t>2025年5月22日，永寿县纪委以永纪</w:t>
      </w:r>
      <w:r>
        <w:rPr>
          <w:rFonts w:hint="eastAsia" w:ascii="仿宋_GB2312" w:hAnsi="仿宋_GB2312" w:eastAsia="仿宋_GB2312" w:cs="仿宋_GB2312"/>
          <w:color w:val="auto"/>
          <w:kern w:val="0"/>
          <w:sz w:val="32"/>
          <w:szCs w:val="32"/>
          <w:shd w:val="clear" w:color="080000" w:fill="FFFFFF"/>
        </w:rPr>
        <w:t>〔202</w:t>
      </w:r>
      <w:r>
        <w:rPr>
          <w:rFonts w:hint="eastAsia" w:ascii="仿宋_GB2312" w:hAnsi="仿宋_GB2312" w:eastAsia="仿宋_GB2312" w:cs="仿宋_GB2312"/>
          <w:color w:val="auto"/>
          <w:kern w:val="0"/>
          <w:sz w:val="32"/>
          <w:szCs w:val="32"/>
          <w:shd w:val="clear" w:color="080000" w:fill="FFFFFF"/>
          <w:lang w:val="en-US" w:eastAsia="zh-CN"/>
        </w:rPr>
        <w:t>5</w:t>
      </w:r>
      <w:r>
        <w:rPr>
          <w:rFonts w:hint="eastAsia" w:ascii="仿宋_GB2312" w:hAnsi="仿宋_GB2312" w:eastAsia="仿宋_GB2312" w:cs="仿宋_GB2312"/>
          <w:color w:val="auto"/>
          <w:kern w:val="0"/>
          <w:sz w:val="32"/>
          <w:szCs w:val="32"/>
          <w:shd w:val="clear" w:color="080000" w:fill="FFFFFF"/>
        </w:rPr>
        <w:t>〕</w:t>
      </w:r>
      <w:r>
        <w:rPr>
          <w:rFonts w:hint="eastAsia" w:ascii="仿宋_GB2312" w:hAnsi="仿宋_GB2312" w:eastAsia="仿宋_GB2312" w:cs="仿宋_GB2312"/>
          <w:color w:val="auto"/>
          <w:kern w:val="0"/>
          <w:sz w:val="32"/>
          <w:szCs w:val="32"/>
          <w:shd w:val="clear" w:color="080000" w:fill="FFFFFF"/>
          <w:lang w:val="en-US" w:eastAsia="zh-CN"/>
        </w:rPr>
        <w:t>15</w:t>
      </w:r>
      <w:r>
        <w:rPr>
          <w:rFonts w:hint="eastAsia" w:ascii="仿宋_GB2312" w:hAnsi="仿宋_GB2312" w:eastAsia="仿宋_GB2312" w:cs="仿宋_GB2312"/>
          <w:color w:val="auto"/>
          <w:kern w:val="0"/>
          <w:sz w:val="32"/>
          <w:szCs w:val="32"/>
          <w:shd w:val="clear" w:color="080000" w:fill="FFFFFF"/>
        </w:rPr>
        <w:t>号</w:t>
      </w:r>
      <w:r>
        <w:rPr>
          <w:rFonts w:hint="eastAsia" w:ascii="仿宋_GB2312" w:hAnsi="仿宋_GB2312" w:eastAsia="仿宋_GB2312" w:cs="仿宋_GB2312"/>
          <w:color w:val="auto"/>
          <w:kern w:val="0"/>
          <w:sz w:val="32"/>
          <w:szCs w:val="32"/>
          <w:shd w:val="clear" w:color="080000" w:fill="FFFFFF"/>
          <w:lang w:val="en-US" w:eastAsia="zh-CN"/>
        </w:rPr>
        <w:t>给予永寿县应急管理局局长诫勉处理；2025年5月23日，分别以永纪</w:t>
      </w:r>
      <w:r>
        <w:rPr>
          <w:rFonts w:hint="eastAsia" w:ascii="仿宋_GB2312" w:hAnsi="仿宋_GB2312" w:eastAsia="仿宋_GB2312" w:cs="仿宋_GB2312"/>
          <w:color w:val="auto"/>
          <w:kern w:val="0"/>
          <w:sz w:val="32"/>
          <w:szCs w:val="32"/>
          <w:shd w:val="clear" w:color="080000" w:fill="FFFFFF"/>
        </w:rPr>
        <w:t>〔202</w:t>
      </w:r>
      <w:r>
        <w:rPr>
          <w:rFonts w:hint="eastAsia" w:ascii="仿宋_GB2312" w:hAnsi="仿宋_GB2312" w:eastAsia="仿宋_GB2312" w:cs="仿宋_GB2312"/>
          <w:color w:val="auto"/>
          <w:kern w:val="0"/>
          <w:sz w:val="32"/>
          <w:szCs w:val="32"/>
          <w:shd w:val="clear" w:color="080000" w:fill="FFFFFF"/>
          <w:lang w:val="en-US" w:eastAsia="zh-CN"/>
        </w:rPr>
        <w:t>5</w:t>
      </w:r>
      <w:r>
        <w:rPr>
          <w:rFonts w:hint="eastAsia" w:ascii="仿宋_GB2312" w:hAnsi="仿宋_GB2312" w:eastAsia="仿宋_GB2312" w:cs="仿宋_GB2312"/>
          <w:color w:val="auto"/>
          <w:kern w:val="0"/>
          <w:sz w:val="32"/>
          <w:szCs w:val="32"/>
          <w:shd w:val="clear" w:color="080000" w:fill="FFFFFF"/>
        </w:rPr>
        <w:t>〕</w:t>
      </w:r>
      <w:r>
        <w:rPr>
          <w:rFonts w:hint="eastAsia" w:ascii="仿宋_GB2312" w:hAnsi="仿宋_GB2312" w:eastAsia="仿宋_GB2312" w:cs="仿宋_GB2312"/>
          <w:color w:val="auto"/>
          <w:kern w:val="0"/>
          <w:sz w:val="32"/>
          <w:szCs w:val="32"/>
          <w:shd w:val="clear" w:color="080000" w:fill="FFFFFF"/>
          <w:lang w:val="en-US" w:eastAsia="zh-CN"/>
        </w:rPr>
        <w:t>20</w:t>
      </w:r>
      <w:r>
        <w:rPr>
          <w:rFonts w:hint="eastAsia" w:ascii="仿宋_GB2312" w:hAnsi="仿宋_GB2312" w:eastAsia="仿宋_GB2312" w:cs="仿宋_GB2312"/>
          <w:color w:val="auto"/>
          <w:kern w:val="0"/>
          <w:sz w:val="32"/>
          <w:szCs w:val="32"/>
          <w:shd w:val="clear" w:color="080000" w:fill="FFFFFF"/>
        </w:rPr>
        <w:t>号</w:t>
      </w:r>
      <w:r>
        <w:rPr>
          <w:rFonts w:hint="eastAsia" w:ascii="仿宋_GB2312" w:hAnsi="仿宋_GB2312" w:eastAsia="仿宋_GB2312" w:cs="仿宋_GB2312"/>
          <w:color w:val="auto"/>
          <w:kern w:val="0"/>
          <w:sz w:val="32"/>
          <w:szCs w:val="32"/>
          <w:shd w:val="clear" w:color="080000" w:fill="FFFFFF"/>
          <w:lang w:eastAsia="zh-CN"/>
        </w:rPr>
        <w:t>、</w:t>
      </w:r>
      <w:r>
        <w:rPr>
          <w:rFonts w:hint="eastAsia" w:ascii="仿宋_GB2312" w:hAnsi="仿宋_GB2312" w:eastAsia="仿宋_GB2312" w:cs="仿宋_GB2312"/>
          <w:color w:val="auto"/>
          <w:kern w:val="0"/>
          <w:sz w:val="32"/>
          <w:szCs w:val="32"/>
          <w:shd w:val="clear" w:color="080000" w:fill="FFFFFF"/>
          <w:lang w:val="en-US" w:eastAsia="zh-CN"/>
        </w:rPr>
        <w:t>22</w:t>
      </w:r>
      <w:r>
        <w:rPr>
          <w:rFonts w:hint="eastAsia" w:ascii="仿宋_GB2312" w:hAnsi="仿宋_GB2312" w:eastAsia="仿宋_GB2312" w:cs="仿宋_GB2312"/>
          <w:color w:val="auto"/>
          <w:kern w:val="0"/>
          <w:sz w:val="32"/>
          <w:szCs w:val="32"/>
          <w:shd w:val="clear" w:color="080000" w:fill="FFFFFF"/>
        </w:rPr>
        <w:t>号</w:t>
      </w:r>
      <w:r>
        <w:rPr>
          <w:rFonts w:hint="eastAsia" w:ascii="仿宋_GB2312" w:hAnsi="仿宋_GB2312" w:eastAsia="仿宋_GB2312" w:cs="仿宋_GB2312"/>
          <w:color w:val="auto"/>
          <w:kern w:val="0"/>
          <w:sz w:val="32"/>
          <w:szCs w:val="32"/>
          <w:shd w:val="clear" w:color="080000" w:fill="FFFFFF"/>
          <w:lang w:eastAsia="zh-CN"/>
        </w:rPr>
        <w:t>、</w:t>
      </w:r>
      <w:r>
        <w:rPr>
          <w:rFonts w:hint="eastAsia" w:ascii="仿宋_GB2312" w:hAnsi="仿宋_GB2312" w:eastAsia="仿宋_GB2312" w:cs="仿宋_GB2312"/>
          <w:color w:val="auto"/>
          <w:kern w:val="0"/>
          <w:sz w:val="32"/>
          <w:szCs w:val="32"/>
          <w:shd w:val="clear" w:color="080000" w:fill="FFFFFF"/>
          <w:lang w:val="en-US" w:eastAsia="zh-CN"/>
        </w:rPr>
        <w:t>23</w:t>
      </w:r>
      <w:r>
        <w:rPr>
          <w:rFonts w:hint="eastAsia" w:ascii="仿宋_GB2312" w:hAnsi="仿宋_GB2312" w:eastAsia="仿宋_GB2312" w:cs="仿宋_GB2312"/>
          <w:color w:val="auto"/>
          <w:kern w:val="0"/>
          <w:sz w:val="32"/>
          <w:szCs w:val="32"/>
          <w:shd w:val="clear" w:color="080000" w:fill="FFFFFF"/>
        </w:rPr>
        <w:t>号</w:t>
      </w:r>
      <w:r>
        <w:rPr>
          <w:rFonts w:hint="eastAsia" w:ascii="仿宋_GB2312" w:hAnsi="仿宋_GB2312" w:eastAsia="仿宋_GB2312" w:cs="仿宋_GB2312"/>
          <w:color w:val="auto"/>
          <w:kern w:val="0"/>
          <w:sz w:val="32"/>
          <w:szCs w:val="32"/>
          <w:shd w:val="clear" w:color="080000" w:fill="FFFFFF"/>
          <w:lang w:val="en-US" w:eastAsia="zh-CN"/>
        </w:rPr>
        <w:t>给予永寿县应急管理局分管副局长、煤炭管理股相关业务负责干部、派驻</w:t>
      </w:r>
      <w:r>
        <w:rPr>
          <w:rFonts w:hint="eastAsia" w:ascii="仿宋_GB2312" w:hAnsi="仿宋_GB2312" w:eastAsia="仿宋_GB2312" w:cs="仿宋_GB2312"/>
          <w:sz w:val="32"/>
          <w:szCs w:val="32"/>
          <w:lang w:val="en-US" w:eastAsia="zh-CN"/>
        </w:rPr>
        <w:t>碾子沟煤矿驻矿安全监督组组长党纪处分；</w:t>
      </w:r>
      <w:r>
        <w:rPr>
          <w:rFonts w:hint="eastAsia" w:ascii="仿宋_GB2312" w:hAnsi="仿宋_GB2312" w:eastAsia="仿宋_GB2312" w:cs="仿宋_GB2312"/>
          <w:color w:val="auto"/>
          <w:kern w:val="0"/>
          <w:sz w:val="32"/>
          <w:szCs w:val="32"/>
          <w:shd w:val="clear" w:color="080000" w:fill="FFFFFF"/>
          <w:lang w:val="en-US" w:eastAsia="zh-CN"/>
        </w:rPr>
        <w:t>以永监</w:t>
      </w:r>
      <w:r>
        <w:rPr>
          <w:rFonts w:hint="eastAsia" w:ascii="仿宋_GB2312" w:hAnsi="仿宋_GB2312" w:eastAsia="仿宋_GB2312" w:cs="仿宋_GB2312"/>
          <w:color w:val="auto"/>
          <w:kern w:val="0"/>
          <w:sz w:val="32"/>
          <w:szCs w:val="32"/>
          <w:shd w:val="clear" w:color="080000" w:fill="FFFFFF"/>
        </w:rPr>
        <w:t>〔202</w:t>
      </w:r>
      <w:r>
        <w:rPr>
          <w:rFonts w:hint="eastAsia" w:ascii="仿宋_GB2312" w:hAnsi="仿宋_GB2312" w:eastAsia="仿宋_GB2312" w:cs="仿宋_GB2312"/>
          <w:color w:val="auto"/>
          <w:kern w:val="0"/>
          <w:sz w:val="32"/>
          <w:szCs w:val="32"/>
          <w:shd w:val="clear" w:color="080000" w:fill="FFFFFF"/>
          <w:lang w:val="en-US" w:eastAsia="zh-CN"/>
        </w:rPr>
        <w:t>5</w:t>
      </w:r>
      <w:r>
        <w:rPr>
          <w:rFonts w:hint="eastAsia" w:ascii="仿宋_GB2312" w:hAnsi="仿宋_GB2312" w:eastAsia="仿宋_GB2312" w:cs="仿宋_GB2312"/>
          <w:color w:val="auto"/>
          <w:kern w:val="0"/>
          <w:sz w:val="32"/>
          <w:szCs w:val="32"/>
          <w:shd w:val="clear" w:color="080000" w:fill="FFFFFF"/>
        </w:rPr>
        <w:t>〕</w:t>
      </w:r>
      <w:r>
        <w:rPr>
          <w:rFonts w:hint="eastAsia" w:ascii="仿宋_GB2312" w:hAnsi="仿宋_GB2312" w:eastAsia="仿宋_GB2312" w:cs="仿宋_GB2312"/>
          <w:color w:val="auto"/>
          <w:kern w:val="0"/>
          <w:sz w:val="32"/>
          <w:szCs w:val="32"/>
          <w:shd w:val="clear" w:color="080000" w:fill="FFFFFF"/>
          <w:lang w:val="en-US" w:eastAsia="zh-CN"/>
        </w:rPr>
        <w:t>8</w:t>
      </w:r>
      <w:r>
        <w:rPr>
          <w:rFonts w:hint="eastAsia" w:ascii="仿宋_GB2312" w:hAnsi="仿宋_GB2312" w:eastAsia="仿宋_GB2312" w:cs="仿宋_GB2312"/>
          <w:color w:val="auto"/>
          <w:kern w:val="0"/>
          <w:sz w:val="32"/>
          <w:szCs w:val="32"/>
          <w:shd w:val="clear" w:color="080000" w:fill="FFFFFF"/>
        </w:rPr>
        <w:t>号</w:t>
      </w:r>
      <w:r>
        <w:rPr>
          <w:rFonts w:hint="eastAsia" w:ascii="仿宋_GB2312" w:hAnsi="仿宋_GB2312" w:eastAsia="仿宋_GB2312" w:cs="仿宋_GB2312"/>
          <w:color w:val="auto"/>
          <w:kern w:val="0"/>
          <w:sz w:val="32"/>
          <w:szCs w:val="32"/>
          <w:shd w:val="clear" w:color="080000" w:fill="FFFFFF"/>
          <w:lang w:val="en-US" w:eastAsia="zh-CN"/>
        </w:rPr>
        <w:t>给予永寿县应急管理局煤炭管理股相关业务负责</w:t>
      </w:r>
      <w:bookmarkStart w:id="1" w:name="_GoBack"/>
      <w:bookmarkEnd w:id="1"/>
      <w:r>
        <w:rPr>
          <w:rFonts w:hint="eastAsia" w:ascii="仿宋_GB2312" w:hAnsi="仿宋_GB2312" w:eastAsia="仿宋_GB2312" w:cs="仿宋_GB2312"/>
          <w:color w:val="auto"/>
          <w:kern w:val="0"/>
          <w:sz w:val="32"/>
          <w:szCs w:val="32"/>
          <w:shd w:val="clear" w:color="080000" w:fill="FFFFFF"/>
          <w:lang w:val="en-US" w:eastAsia="zh-CN"/>
        </w:rPr>
        <w:t>干部政务处分。</w:t>
      </w:r>
    </w:p>
    <w:p w14:paraId="7DF5A3C3">
      <w:pPr>
        <w:keepNext w:val="0"/>
        <w:keepLines w:val="0"/>
        <w:pageBreakBefore w:val="0"/>
        <w:kinsoku/>
        <w:wordWrap/>
        <w:overflowPunct/>
        <w:topLinePunct w:val="0"/>
        <w:bidi w:val="0"/>
        <w:spacing w:line="560" w:lineRule="exact"/>
        <w:ind w:left="0" w:leftChars="0" w:firstLine="594" w:firstLineChars="200"/>
        <w:jc w:val="both"/>
        <w:textAlignment w:val="auto"/>
        <w:rPr>
          <w:rFonts w:hint="eastAsia" w:ascii="仿宋_GB2312" w:hAnsi="仿宋_GB2312" w:eastAsia="仿宋_GB2312" w:cs="仿宋_GB2312"/>
          <w:kern w:val="0"/>
          <w:sz w:val="32"/>
          <w:szCs w:val="32"/>
          <w:highlight w:val="yellow"/>
          <w:shd w:val="clear" w:color="080000" w:fill="FFFFFF"/>
        </w:rPr>
      </w:pPr>
      <w:r>
        <w:rPr>
          <w:rFonts w:hint="eastAsia" w:ascii="仿宋_GB2312" w:hAnsi="仿宋_GB2312" w:eastAsia="仿宋_GB2312" w:cs="仿宋_GB2312"/>
          <w:b/>
          <w:bCs/>
          <w:color w:val="auto"/>
          <w:sz w:val="32"/>
          <w:szCs w:val="32"/>
          <w:lang w:val="en-US" w:eastAsia="zh-CN"/>
        </w:rPr>
        <w:t>5.</w:t>
      </w:r>
      <w:r>
        <w:rPr>
          <w:rFonts w:hint="eastAsia" w:ascii="仿宋_GB2312" w:hAnsi="仿宋_GB2312" w:eastAsia="仿宋_GB2312" w:cs="仿宋_GB2312"/>
          <w:b/>
          <w:bCs/>
          <w:color w:val="auto"/>
          <w:sz w:val="32"/>
          <w:szCs w:val="32"/>
        </w:rPr>
        <w:t>事故责任单位的处理建议落实情况</w:t>
      </w:r>
      <w:r>
        <w:rPr>
          <w:rFonts w:hint="eastAsia" w:ascii="仿宋_GB2312" w:hAnsi="仿宋_GB2312" w:eastAsia="仿宋_GB2312" w:cs="仿宋_GB2312"/>
          <w:b/>
          <w:bCs/>
          <w:color w:val="auto"/>
          <w:sz w:val="32"/>
          <w:szCs w:val="32"/>
          <w:lang w:eastAsia="zh-CN"/>
        </w:rPr>
        <w:t>。</w:t>
      </w:r>
      <w:r>
        <w:rPr>
          <w:rFonts w:hint="eastAsia" w:ascii="仿宋_GB2312" w:hAnsi="仿宋_GB2312" w:eastAsia="仿宋_GB2312" w:cs="仿宋_GB2312"/>
          <w:sz w:val="32"/>
          <w:szCs w:val="32"/>
          <w:lang w:val="en-US" w:eastAsia="zh-CN"/>
        </w:rPr>
        <w:t>2024年11月24日，永寿县应急管理局向永寿县委、县政府作出检查；2025年1月10日，咸阳市煤炭工业局、永寿县人民政府接受国家矿山安全监察局陕西局约谈。2025年1月2日，陕西局向碾子沟煤矿下达了行政处罚决定书（陕煤安监五罚〔2025〕37001号至37016号），罚款75万元。截至2025年3月7日，行政罚款全部缴纳到位。</w:t>
      </w:r>
    </w:p>
    <w:p w14:paraId="6D28CF9A">
      <w:pPr>
        <w:pStyle w:val="8"/>
        <w:keepNext w:val="0"/>
        <w:keepLines w:val="0"/>
        <w:pageBreakBefore w:val="0"/>
        <w:widowControl w:val="0"/>
        <w:kinsoku/>
        <w:wordWrap/>
        <w:overflowPunct/>
        <w:topLinePunct w:val="0"/>
        <w:bidi w:val="0"/>
        <w:adjustRightInd w:val="0"/>
        <w:snapToGrid w:val="0"/>
        <w:spacing w:line="560" w:lineRule="exact"/>
        <w:ind w:left="0" w:leftChars="0" w:firstLine="594" w:firstLineChars="200"/>
        <w:jc w:val="both"/>
        <w:textAlignment w:val="auto"/>
        <w:rPr>
          <w:rFonts w:hint="default" w:ascii="楷体_GB2312" w:hAnsi="Times New Roman" w:eastAsia="楷体_GB2312"/>
          <w:color w:val="auto"/>
          <w:sz w:val="32"/>
          <w:szCs w:val="32"/>
          <w:highlight w:val="none"/>
        </w:rPr>
      </w:pPr>
      <w:r>
        <w:rPr>
          <w:rFonts w:ascii="楷体_GB2312" w:hAnsi="Times New Roman" w:eastAsia="楷体_GB2312"/>
          <w:color w:val="auto"/>
          <w:sz w:val="32"/>
          <w:szCs w:val="32"/>
          <w:highlight w:val="none"/>
        </w:rPr>
        <w:t>（</w:t>
      </w:r>
      <w:r>
        <w:rPr>
          <w:rFonts w:hint="eastAsia" w:ascii="楷体_GB2312" w:hAnsi="Times New Roman" w:eastAsia="楷体_GB2312"/>
          <w:color w:val="auto"/>
          <w:sz w:val="32"/>
          <w:szCs w:val="32"/>
          <w:highlight w:val="none"/>
          <w:lang w:val="en-US" w:eastAsia="zh-CN"/>
        </w:rPr>
        <w:t>二</w:t>
      </w:r>
      <w:r>
        <w:rPr>
          <w:rFonts w:ascii="楷体_GB2312" w:hAnsi="Times New Roman" w:eastAsia="楷体_GB2312"/>
          <w:color w:val="auto"/>
          <w:sz w:val="32"/>
          <w:szCs w:val="32"/>
          <w:highlight w:val="none"/>
        </w:rPr>
        <w:t>）事故防范和整改措施建议</w:t>
      </w:r>
      <w:r>
        <w:rPr>
          <w:rFonts w:ascii="楷体_GB2312" w:hAnsi="Times New Roman" w:eastAsia="楷体_GB2312"/>
          <w:color w:val="auto"/>
          <w:sz w:val="32"/>
          <w:szCs w:val="32"/>
          <w:highlight w:val="none"/>
          <w:lang w:bidi="en-US"/>
        </w:rPr>
        <w:t>落实</w:t>
      </w:r>
      <w:r>
        <w:rPr>
          <w:rFonts w:ascii="楷体_GB2312" w:hAnsi="Times New Roman" w:eastAsia="楷体_GB2312"/>
          <w:color w:val="auto"/>
          <w:sz w:val="32"/>
          <w:szCs w:val="32"/>
          <w:highlight w:val="none"/>
        </w:rPr>
        <w:t>情况</w:t>
      </w:r>
    </w:p>
    <w:p w14:paraId="22DA632C">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594" w:firstLineChars="200"/>
        <w:jc w:val="both"/>
        <w:textAlignment w:val="auto"/>
        <w:rPr>
          <w:rFonts w:hint="default" w:ascii="仿宋_GB2312" w:hAnsi="仿宋_GB2312" w:eastAsia="仿宋_GB2312" w:cs="仿宋_GB2312"/>
          <w:b/>
          <w:bCs/>
          <w:color w:val="auto"/>
          <w:kern w:val="0"/>
          <w:sz w:val="32"/>
          <w:szCs w:val="32"/>
          <w:highlight w:val="none"/>
          <w:shd w:val="clear" w:color="080000" w:fill="FFFFFF"/>
          <w:lang w:val="en-US" w:eastAsia="zh-CN"/>
        </w:rPr>
      </w:pPr>
      <w:r>
        <w:rPr>
          <w:rFonts w:hint="eastAsia" w:ascii="仿宋_GB2312" w:hAnsi="仿宋_GB2312" w:eastAsia="仿宋_GB2312" w:cs="仿宋_GB2312"/>
          <w:b/>
          <w:bCs/>
          <w:color w:val="auto"/>
          <w:kern w:val="0"/>
          <w:sz w:val="32"/>
          <w:szCs w:val="32"/>
          <w:highlight w:val="none"/>
          <w:shd w:val="clear" w:color="080000" w:fill="FFFFFF"/>
          <w:lang w:val="en-US" w:eastAsia="zh-CN"/>
        </w:rPr>
        <w:t>1.地方党委、政府层面</w:t>
      </w:r>
    </w:p>
    <w:p w14:paraId="0D340DC1">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594"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（1）压实政治责任。一是</w:t>
      </w:r>
      <w:r>
        <w:rPr>
          <w:rFonts w:hint="eastAsia" w:ascii="仿宋_GB2312" w:hAnsi="仿宋_GB2312" w:eastAsia="仿宋_GB2312" w:cs="仿宋_GB2312"/>
          <w:b w:val="0"/>
          <w:bCs w:val="0"/>
          <w:color w:val="auto"/>
          <w:sz w:val="32"/>
          <w:szCs w:val="32"/>
          <w:highlight w:val="none"/>
          <w:lang w:val="en-US" w:eastAsia="zh-CN"/>
        </w:rPr>
        <w:t>县委、县政府始终高度重视安全生产工作，坚持“安全第一，预防为主，综合治理”的方针，落实党政同责、“一岗双责”、失职追责、齐抓共管的要求，狠抓煤矿管理工作，把贯彻习近平总书记关于安全生产重要指示批示精神作为首要政治任务，将煤矿安全纳入地区发展全局。</w:t>
      </w:r>
      <w:r>
        <w:rPr>
          <w:rFonts w:hint="eastAsia" w:ascii="仿宋_GB2312" w:hAnsi="仿宋_GB2312" w:eastAsia="仿宋_GB2312" w:cs="仿宋_GB2312"/>
          <w:b/>
          <w:bCs/>
          <w:color w:val="auto"/>
          <w:sz w:val="32"/>
          <w:szCs w:val="32"/>
          <w:highlight w:val="none"/>
          <w:lang w:val="en-US" w:eastAsia="zh-CN"/>
        </w:rPr>
        <w:t>二是</w:t>
      </w:r>
      <w:r>
        <w:rPr>
          <w:rFonts w:hint="eastAsia" w:ascii="仿宋_GB2312" w:hAnsi="仿宋_GB2312" w:eastAsia="仿宋_GB2312" w:cs="仿宋_GB2312"/>
          <w:b w:val="0"/>
          <w:bCs w:val="0"/>
          <w:color w:val="auto"/>
          <w:sz w:val="32"/>
          <w:szCs w:val="32"/>
          <w:highlight w:val="none"/>
          <w:lang w:val="en-US" w:eastAsia="zh-CN"/>
        </w:rPr>
        <w:t>县委常委会会议、县政府常务会议及县委中心组、县政府党组学习会，累计开展习近平总书记关于安全生产重要指示精神学习8次，听取煤矿安全生产情况汇报6次。包括县委书记、县长在内的4名县级领导定期直插一线到矿检查煤矿安全。</w:t>
      </w:r>
    </w:p>
    <w:p w14:paraId="4822256E">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594"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（2）严格落实各级联系包保责任。一是</w:t>
      </w:r>
      <w:r>
        <w:rPr>
          <w:rFonts w:hint="eastAsia" w:ascii="仿宋_GB2312" w:hAnsi="仿宋_GB2312" w:eastAsia="仿宋_GB2312" w:cs="仿宋_GB2312"/>
          <w:b w:val="0"/>
          <w:bCs w:val="0"/>
          <w:color w:val="auto"/>
          <w:sz w:val="32"/>
          <w:szCs w:val="32"/>
          <w:highlight w:val="none"/>
          <w:lang w:val="en-US" w:eastAsia="zh-CN"/>
        </w:rPr>
        <w:t>构建了县政府、监管部门联系包保机制，县级包保领导在关键时段、重点区域和重点工作开展期间每月至少深入煤矿开展一次检查指导，每季度下井检查1次。</w:t>
      </w:r>
      <w:r>
        <w:rPr>
          <w:rFonts w:hint="eastAsia" w:ascii="仿宋_GB2312" w:hAnsi="仿宋_GB2312" w:eastAsia="仿宋_GB2312" w:cs="仿宋_GB2312"/>
          <w:b/>
          <w:bCs/>
          <w:color w:val="auto"/>
          <w:sz w:val="32"/>
          <w:szCs w:val="32"/>
          <w:highlight w:val="none"/>
          <w:lang w:val="en-US" w:eastAsia="zh-CN"/>
        </w:rPr>
        <w:t>二是</w:t>
      </w:r>
      <w:r>
        <w:rPr>
          <w:rFonts w:hint="eastAsia" w:ascii="仿宋_GB2312" w:hAnsi="仿宋_GB2312" w:eastAsia="仿宋_GB2312" w:cs="仿宋_GB2312"/>
          <w:b w:val="0"/>
          <w:bCs w:val="0"/>
          <w:color w:val="auto"/>
          <w:sz w:val="32"/>
          <w:szCs w:val="32"/>
          <w:highlight w:val="none"/>
          <w:lang w:val="en-US" w:eastAsia="zh-CN"/>
        </w:rPr>
        <w:t>县政府与监管部门、监管部门与2处煤矿层层签订目标责任书，做到层层有压力，人人有责任，不断完善全员安全生产责任制，坚决杜绝迟报、瞒报情况发生。</w:t>
      </w:r>
    </w:p>
    <w:p w14:paraId="154C4AB4">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594" w:firstLineChars="200"/>
        <w:jc w:val="both"/>
        <w:textAlignment w:val="auto"/>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（3）持续深化双重预防机制建设。一是</w:t>
      </w:r>
      <w:r>
        <w:rPr>
          <w:rFonts w:hint="eastAsia" w:ascii="仿宋_GB2312" w:hAnsi="仿宋_GB2312" w:eastAsia="仿宋_GB2312" w:cs="仿宋_GB2312"/>
          <w:b w:val="0"/>
          <w:bCs w:val="0"/>
          <w:color w:val="auto"/>
          <w:sz w:val="32"/>
          <w:szCs w:val="32"/>
          <w:highlight w:val="none"/>
          <w:lang w:val="en-US" w:eastAsia="zh-CN"/>
        </w:rPr>
        <w:t>设立永寿县煤矿监控中心，充分利用陕西省矿山安全风险监测预警系统超前研判辖区煤矿存在的安全风险，针对不同预警信息采取分级管控。</w:t>
      </w:r>
      <w:r>
        <w:rPr>
          <w:rFonts w:hint="eastAsia" w:ascii="仿宋_GB2312" w:hAnsi="仿宋_GB2312" w:eastAsia="仿宋_GB2312" w:cs="仿宋_GB2312"/>
          <w:b/>
          <w:bCs/>
          <w:color w:val="auto"/>
          <w:sz w:val="32"/>
          <w:szCs w:val="32"/>
          <w:highlight w:val="none"/>
          <w:lang w:val="en-US" w:eastAsia="zh-CN"/>
        </w:rPr>
        <w:t>二是</w:t>
      </w:r>
      <w:r>
        <w:rPr>
          <w:rFonts w:hint="eastAsia" w:ascii="仿宋_GB2312" w:hAnsi="仿宋_GB2312" w:eastAsia="仿宋_GB2312" w:cs="仿宋_GB2312"/>
          <w:b w:val="0"/>
          <w:bCs w:val="0"/>
          <w:color w:val="auto"/>
          <w:sz w:val="32"/>
          <w:szCs w:val="32"/>
          <w:highlight w:val="none"/>
          <w:lang w:val="en-US" w:eastAsia="zh-CN"/>
        </w:rPr>
        <w:t>建立负有安全监管职责部门的审核销号机制，对重大事故隐患进行挂牌督办，督促整改</w:t>
      </w:r>
      <w:r>
        <w:rPr>
          <w:rFonts w:hint="eastAsia" w:ascii="仿宋_GB2312" w:hAnsi="仿宋_GB2312" w:eastAsia="仿宋_GB2312" w:cs="仿宋_GB2312"/>
          <w:b/>
          <w:bCs/>
          <w:color w:val="auto"/>
          <w:sz w:val="32"/>
          <w:szCs w:val="32"/>
          <w:highlight w:val="none"/>
          <w:lang w:val="en-US" w:eastAsia="zh-CN"/>
        </w:rPr>
        <w:t>。</w:t>
      </w:r>
    </w:p>
    <w:p w14:paraId="4DF00245">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594" w:firstLineChars="200"/>
        <w:jc w:val="both"/>
        <w:textAlignment w:val="auto"/>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2.监管部门层面</w:t>
      </w:r>
    </w:p>
    <w:p w14:paraId="12C0D96E">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594" w:firstLineChars="200"/>
        <w:jc w:val="both"/>
        <w:textAlignment w:val="auto"/>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（1）细化煤矿监管责任。一是</w:t>
      </w:r>
      <w:r>
        <w:rPr>
          <w:rFonts w:hint="eastAsia" w:ascii="仿宋_GB2312" w:hAnsi="仿宋_GB2312" w:eastAsia="仿宋_GB2312" w:cs="仿宋_GB2312"/>
          <w:b w:val="0"/>
          <w:bCs w:val="0"/>
          <w:color w:val="auto"/>
          <w:sz w:val="32"/>
          <w:szCs w:val="32"/>
          <w:highlight w:val="none"/>
          <w:lang w:val="en-US" w:eastAsia="zh-CN"/>
        </w:rPr>
        <w:t>细化日常检查、定期巡查、重点督办工作流程，高效落实驻矿盯守责任，紧盯春节、全国两会、“五一”“国庆”等关键时段和重点工作，县监管部门业务同志驻矿督查。</w:t>
      </w:r>
      <w:r>
        <w:rPr>
          <w:rFonts w:hint="eastAsia" w:ascii="仿宋_GB2312" w:hAnsi="仿宋_GB2312" w:eastAsia="仿宋_GB2312" w:cs="仿宋_GB2312"/>
          <w:b/>
          <w:bCs/>
          <w:color w:val="auto"/>
          <w:sz w:val="32"/>
          <w:szCs w:val="32"/>
          <w:highlight w:val="none"/>
          <w:lang w:val="en-US" w:eastAsia="zh-CN"/>
        </w:rPr>
        <w:t>二是</w:t>
      </w:r>
      <w:r>
        <w:rPr>
          <w:rFonts w:hint="eastAsia" w:ascii="仿宋_GB2312" w:hAnsi="仿宋_GB2312" w:eastAsia="仿宋_GB2312" w:cs="仿宋_GB2312"/>
          <w:b w:val="0"/>
          <w:bCs w:val="0"/>
          <w:color w:val="auto"/>
          <w:sz w:val="32"/>
          <w:szCs w:val="32"/>
          <w:highlight w:val="none"/>
          <w:lang w:val="en-US" w:eastAsia="zh-CN"/>
        </w:rPr>
        <w:t>县应急管理局每月组织开展一次全县煤矿风险研判会，同时充分发挥县煤安委职能作用，由县应急管理局牵头，县自然资源局、公安局、消防救援大队、供电公司等成员单位密切配合，逐矿开展联合执法检查。</w:t>
      </w:r>
    </w:p>
    <w:p w14:paraId="01484FC1">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594" w:firstLineChars="200"/>
        <w:jc w:val="both"/>
        <w:textAlignment w:val="auto"/>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（2）扎实开展问题隐患整改。</w:t>
      </w:r>
      <w:r>
        <w:rPr>
          <w:rFonts w:hint="eastAsia" w:ascii="仿宋_GB2312" w:hAnsi="仿宋_GB2312" w:eastAsia="仿宋_GB2312" w:cs="仿宋_GB2312"/>
          <w:b w:val="0"/>
          <w:bCs w:val="0"/>
          <w:color w:val="auto"/>
          <w:sz w:val="32"/>
          <w:szCs w:val="32"/>
          <w:highlight w:val="none"/>
          <w:lang w:val="en-US" w:eastAsia="zh-CN"/>
        </w:rPr>
        <w:t>县应急管理局与陕西利源茂煤矿服务有限公司签订协议，每月邀请专家检查一次，在重大节假日、重要时段按照12+N的模式，加密检查频次，每次检查要向县应急管理局反馈问题清单、现场图片及视频影像等资料，促进煤矿隐患整改，强化现场管理，提升煤矿安全基础水平。</w:t>
      </w:r>
    </w:p>
    <w:p w14:paraId="2DF37CD5">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594" w:firstLineChars="200"/>
        <w:jc w:val="both"/>
        <w:textAlignment w:val="auto"/>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（3）强化煤矿监管队伍建设。一是</w:t>
      </w:r>
      <w:r>
        <w:rPr>
          <w:rFonts w:hint="eastAsia" w:ascii="仿宋_GB2312" w:hAnsi="仿宋_GB2312" w:eastAsia="仿宋_GB2312" w:cs="仿宋_GB2312"/>
          <w:b w:val="0"/>
          <w:bCs w:val="0"/>
          <w:color w:val="auto"/>
          <w:sz w:val="32"/>
          <w:szCs w:val="32"/>
          <w:highlight w:val="none"/>
          <w:lang w:val="en-US" w:eastAsia="zh-CN"/>
        </w:rPr>
        <w:t>加大对煤矿安全监管人员的培训力度，提高监管人员的业务素质和执法能力。采取以老带新、驻矿学习、外出培训、以干代培等形式提高煤矿安全监管能力，切实提升发现问题和解决问题的意愿和水平。</w:t>
      </w:r>
      <w:r>
        <w:rPr>
          <w:rFonts w:hint="eastAsia" w:ascii="仿宋_GB2312" w:hAnsi="仿宋_GB2312" w:eastAsia="仿宋_GB2312" w:cs="仿宋_GB2312"/>
          <w:b/>
          <w:bCs/>
          <w:color w:val="auto"/>
          <w:sz w:val="32"/>
          <w:szCs w:val="32"/>
          <w:highlight w:val="none"/>
          <w:lang w:val="en-US" w:eastAsia="zh-CN"/>
        </w:rPr>
        <w:t>二是</w:t>
      </w:r>
      <w:r>
        <w:rPr>
          <w:rFonts w:hint="eastAsia" w:ascii="仿宋_GB2312" w:hAnsi="仿宋_GB2312" w:eastAsia="仿宋_GB2312" w:cs="仿宋_GB2312"/>
          <w:b w:val="0"/>
          <w:bCs w:val="0"/>
          <w:color w:val="auto"/>
          <w:sz w:val="32"/>
          <w:szCs w:val="32"/>
          <w:highlight w:val="none"/>
          <w:lang w:val="en-US" w:eastAsia="zh-CN"/>
        </w:rPr>
        <w:t>加强执法队伍建设，配足配齐专业监管设备，不断提高执法效率。成立监控专班，配备监控值机人员4名。</w:t>
      </w:r>
    </w:p>
    <w:p w14:paraId="20AA79E8">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594" w:firstLineChars="200"/>
        <w:jc w:val="both"/>
        <w:textAlignment w:val="auto"/>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（4）督促驻矿安检员履职尽责。一是</w:t>
      </w:r>
      <w:r>
        <w:rPr>
          <w:rFonts w:hint="eastAsia" w:ascii="仿宋_GB2312" w:hAnsi="仿宋_GB2312" w:eastAsia="仿宋_GB2312" w:cs="仿宋_GB2312"/>
          <w:b w:val="0"/>
          <w:bCs w:val="0"/>
          <w:color w:val="auto"/>
          <w:sz w:val="32"/>
          <w:szCs w:val="32"/>
          <w:highlight w:val="none"/>
          <w:lang w:val="en-US" w:eastAsia="zh-CN"/>
        </w:rPr>
        <w:t>加强对驻矿安检员履职情况的监督检查，及时发现并纠正驻矿安检员工作中存在的问题与不足。</w:t>
      </w:r>
      <w:r>
        <w:rPr>
          <w:rFonts w:hint="eastAsia" w:ascii="仿宋_GB2312" w:hAnsi="仿宋_GB2312" w:eastAsia="仿宋_GB2312" w:cs="仿宋_GB2312"/>
          <w:b/>
          <w:bCs/>
          <w:color w:val="auto"/>
          <w:sz w:val="32"/>
          <w:szCs w:val="32"/>
          <w:highlight w:val="none"/>
          <w:lang w:val="en-US" w:eastAsia="zh-CN"/>
        </w:rPr>
        <w:t>二是</w:t>
      </w:r>
      <w:r>
        <w:rPr>
          <w:rFonts w:hint="eastAsia" w:ascii="仿宋_GB2312" w:hAnsi="仿宋_GB2312" w:eastAsia="仿宋_GB2312" w:cs="仿宋_GB2312"/>
          <w:b w:val="0"/>
          <w:bCs w:val="0"/>
          <w:color w:val="auto"/>
          <w:sz w:val="32"/>
          <w:szCs w:val="32"/>
          <w:highlight w:val="none"/>
          <w:lang w:val="en-US" w:eastAsia="zh-CN"/>
        </w:rPr>
        <w:t>设立明确的奖惩制度，进行月考核、季度考核、年终考核，及时调整优化驻矿安检员人员选派，充分发挥驻矿安全监督员的“前哨”作用。</w:t>
      </w:r>
    </w:p>
    <w:p w14:paraId="3A192ACD">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594" w:firstLineChars="200"/>
        <w:jc w:val="both"/>
        <w:textAlignment w:val="auto"/>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3.企业层面</w:t>
      </w:r>
    </w:p>
    <w:p w14:paraId="337214DB">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594"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（1）认真落实安全主体责任，不断提高政治站位。一是</w:t>
      </w:r>
      <w:r>
        <w:rPr>
          <w:rFonts w:hint="eastAsia" w:ascii="仿宋_GB2312" w:hAnsi="仿宋_GB2312" w:eastAsia="仿宋_GB2312" w:cs="仿宋_GB2312"/>
          <w:b w:val="0"/>
          <w:bCs w:val="0"/>
          <w:color w:val="auto"/>
          <w:sz w:val="32"/>
          <w:szCs w:val="32"/>
          <w:highlight w:val="none"/>
          <w:lang w:val="en-US" w:eastAsia="zh-CN"/>
        </w:rPr>
        <w:t>积极落实企业安全生产主体责任，组织员工学习《煤矿安全生产条例》等安全生产法规，增强全员安全意识，累计发放《意见》《硬措施》等学习汇编读本500余册。</w:t>
      </w:r>
      <w:r>
        <w:rPr>
          <w:rFonts w:hint="eastAsia" w:ascii="仿宋_GB2312" w:hAnsi="仿宋_GB2312" w:eastAsia="仿宋_GB2312" w:cs="仿宋_GB2312"/>
          <w:b/>
          <w:bCs/>
          <w:color w:val="auto"/>
          <w:sz w:val="32"/>
          <w:szCs w:val="32"/>
          <w:highlight w:val="none"/>
          <w:lang w:val="en-US" w:eastAsia="zh-CN"/>
        </w:rPr>
        <w:t>二是</w:t>
      </w:r>
      <w:r>
        <w:rPr>
          <w:rFonts w:hint="eastAsia" w:ascii="仿宋_GB2312" w:hAnsi="仿宋_GB2312" w:eastAsia="仿宋_GB2312" w:cs="仿宋_GB2312"/>
          <w:b w:val="0"/>
          <w:bCs w:val="0"/>
          <w:color w:val="auto"/>
          <w:sz w:val="32"/>
          <w:szCs w:val="32"/>
          <w:highlight w:val="none"/>
          <w:lang w:val="en-US" w:eastAsia="zh-CN"/>
        </w:rPr>
        <w:t>逐级签订安全目标责任书605份、安全承诺书548份，重新修订《事故报告与责任追究制度》，明确各级迟报、瞒报、谎报事故的考核标准，从根源上杜绝迟报现象。</w:t>
      </w:r>
      <w:r>
        <w:rPr>
          <w:rFonts w:hint="eastAsia" w:ascii="仿宋_GB2312" w:hAnsi="仿宋_GB2312" w:eastAsia="仿宋_GB2312" w:cs="仿宋_GB2312"/>
          <w:b/>
          <w:bCs/>
          <w:color w:val="auto"/>
          <w:sz w:val="32"/>
          <w:szCs w:val="32"/>
          <w:highlight w:val="none"/>
          <w:lang w:val="en-US" w:eastAsia="zh-CN"/>
        </w:rPr>
        <w:t>三是</w:t>
      </w:r>
      <w:r>
        <w:rPr>
          <w:rFonts w:hint="eastAsia" w:ascii="仿宋_GB2312" w:hAnsi="仿宋_GB2312" w:eastAsia="仿宋_GB2312" w:cs="仿宋_GB2312"/>
          <w:b w:val="0"/>
          <w:bCs w:val="0"/>
          <w:color w:val="auto"/>
          <w:sz w:val="32"/>
          <w:szCs w:val="32"/>
          <w:highlight w:val="none"/>
          <w:lang w:val="en-US" w:eastAsia="zh-CN"/>
        </w:rPr>
        <w:t>加强对施工单位安全管理。督促施工单位健全安全管理制度，按规定配齐“三项”岗位人员，落实施工单位各项安全管理制度及岗位责任制。</w:t>
      </w:r>
    </w:p>
    <w:p w14:paraId="454CD85E">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594"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（2）加强安全管理工作，强化双重预防机制建设方面。一是</w:t>
      </w:r>
      <w:r>
        <w:rPr>
          <w:rFonts w:hint="eastAsia" w:ascii="仿宋_GB2312" w:hAnsi="仿宋_GB2312" w:eastAsia="仿宋_GB2312" w:cs="仿宋_GB2312"/>
          <w:b w:val="0"/>
          <w:bCs w:val="0"/>
          <w:color w:val="auto"/>
          <w:sz w:val="32"/>
          <w:szCs w:val="32"/>
          <w:highlight w:val="none"/>
          <w:lang w:val="en-US" w:eastAsia="zh-CN"/>
        </w:rPr>
        <w:t>加强领导班子建设，增强团队凝聚力。事故发生至今，对矿井领导班子进行了重新考核、梳理并重新定义，调整主要安全管理人员3人，严格做到岗、位、责三项同担。</w:t>
      </w:r>
      <w:r>
        <w:rPr>
          <w:rFonts w:hint="eastAsia" w:ascii="仿宋_GB2312" w:hAnsi="仿宋_GB2312" w:eastAsia="仿宋_GB2312" w:cs="仿宋_GB2312"/>
          <w:b/>
          <w:bCs/>
          <w:color w:val="auto"/>
          <w:sz w:val="32"/>
          <w:szCs w:val="32"/>
          <w:highlight w:val="none"/>
          <w:lang w:val="en-US" w:eastAsia="zh-CN"/>
        </w:rPr>
        <w:t>二是</w:t>
      </w:r>
      <w:r>
        <w:rPr>
          <w:rFonts w:hint="eastAsia" w:ascii="仿宋_GB2312" w:hAnsi="仿宋_GB2312" w:eastAsia="仿宋_GB2312" w:cs="仿宋_GB2312"/>
          <w:b w:val="0"/>
          <w:bCs w:val="0"/>
          <w:color w:val="auto"/>
          <w:sz w:val="32"/>
          <w:szCs w:val="32"/>
          <w:highlight w:val="none"/>
          <w:lang w:val="en-US" w:eastAsia="zh-CN"/>
        </w:rPr>
        <w:t>事故发生后，立即组织开展“11·1”事故后专项辨识，辨识安全风险66项，同时制定了相应的管控措施。</w:t>
      </w:r>
      <w:r>
        <w:rPr>
          <w:rFonts w:hint="eastAsia" w:ascii="仿宋_GB2312" w:hAnsi="仿宋_GB2312" w:eastAsia="仿宋_GB2312" w:cs="仿宋_GB2312"/>
          <w:b/>
          <w:bCs/>
          <w:color w:val="auto"/>
          <w:sz w:val="32"/>
          <w:szCs w:val="32"/>
          <w:highlight w:val="none"/>
          <w:lang w:val="en-US" w:eastAsia="zh-CN"/>
        </w:rPr>
        <w:t>三是</w:t>
      </w:r>
      <w:r>
        <w:rPr>
          <w:rFonts w:hint="eastAsia" w:ascii="仿宋_GB2312" w:hAnsi="仿宋_GB2312" w:eastAsia="仿宋_GB2312" w:cs="仿宋_GB2312"/>
          <w:b w:val="0"/>
          <w:bCs w:val="0"/>
          <w:color w:val="auto"/>
          <w:sz w:val="32"/>
          <w:szCs w:val="32"/>
          <w:highlight w:val="none"/>
          <w:lang w:val="en-US" w:eastAsia="zh-CN"/>
        </w:rPr>
        <w:t>重新修订岗位安全生产责任制181项、操作规程104项、安全管理制度240项。排查治理隐患1346条，实行停产停工整改2次，落实监管部门、上级单位检查问题958条。</w:t>
      </w:r>
      <w:r>
        <w:rPr>
          <w:rFonts w:hint="eastAsia" w:ascii="仿宋_GB2312" w:hAnsi="仿宋_GB2312" w:eastAsia="仿宋_GB2312" w:cs="仿宋_GB2312"/>
          <w:b/>
          <w:bCs/>
          <w:color w:val="auto"/>
          <w:sz w:val="32"/>
          <w:szCs w:val="32"/>
          <w:highlight w:val="none"/>
          <w:lang w:val="en-US" w:eastAsia="zh-CN"/>
        </w:rPr>
        <w:t>四是</w:t>
      </w:r>
      <w:r>
        <w:rPr>
          <w:rFonts w:hint="eastAsia" w:ascii="仿宋_GB2312" w:hAnsi="仿宋_GB2312" w:eastAsia="仿宋_GB2312" w:cs="仿宋_GB2312"/>
          <w:b w:val="0"/>
          <w:bCs w:val="0"/>
          <w:color w:val="auto"/>
          <w:sz w:val="32"/>
          <w:szCs w:val="32"/>
          <w:highlight w:val="none"/>
          <w:lang w:val="en-US" w:eastAsia="zh-CN"/>
        </w:rPr>
        <w:t>完成了掘进工作面超前钻探5110m，超前物探5110m；102综采工作面物探（瞬变电磁及无线电透视）面积2.7864km</w:t>
      </w:r>
      <w:r>
        <w:rPr>
          <w:rFonts w:hint="eastAsia" w:ascii="仿宋_GB2312" w:hAnsi="仿宋_GB2312" w:eastAsia="仿宋_GB2312" w:cs="仿宋_GB2312"/>
          <w:b w:val="0"/>
          <w:bCs w:val="0"/>
          <w:color w:val="auto"/>
          <w:sz w:val="32"/>
          <w:szCs w:val="32"/>
          <w:highlight w:val="none"/>
          <w:vertAlign w:val="superscript"/>
          <w:lang w:val="en-US" w:eastAsia="zh-CN"/>
        </w:rPr>
        <w:t>2</w:t>
      </w:r>
      <w:r>
        <w:rPr>
          <w:rFonts w:hint="eastAsia" w:ascii="仿宋_GB2312" w:hAnsi="仿宋_GB2312" w:eastAsia="仿宋_GB2312" w:cs="仿宋_GB2312"/>
          <w:b w:val="0"/>
          <w:bCs w:val="0"/>
          <w:color w:val="auto"/>
          <w:sz w:val="32"/>
          <w:szCs w:val="32"/>
          <w:highlight w:val="none"/>
          <w:lang w:val="en-US" w:eastAsia="zh-CN"/>
        </w:rPr>
        <w:t>，完成了顶板富水性探查面积9390m</w:t>
      </w:r>
      <w:r>
        <w:rPr>
          <w:rFonts w:hint="eastAsia" w:ascii="仿宋_GB2312" w:hAnsi="仿宋_GB2312" w:eastAsia="仿宋_GB2312" w:cs="仿宋_GB2312"/>
          <w:b w:val="0"/>
          <w:bCs w:val="0"/>
          <w:color w:val="auto"/>
          <w:sz w:val="32"/>
          <w:szCs w:val="32"/>
          <w:highlight w:val="none"/>
          <w:vertAlign w:val="superscript"/>
          <w:lang w:val="en-US" w:eastAsia="zh-CN"/>
        </w:rPr>
        <w:t>2</w:t>
      </w:r>
      <w:r>
        <w:rPr>
          <w:rFonts w:hint="eastAsia" w:ascii="仿宋_GB2312" w:hAnsi="仿宋_GB2312" w:eastAsia="仿宋_GB2312" w:cs="仿宋_GB2312"/>
          <w:b w:val="0"/>
          <w:bCs w:val="0"/>
          <w:color w:val="auto"/>
          <w:sz w:val="32"/>
          <w:szCs w:val="32"/>
          <w:highlight w:val="none"/>
          <w:lang w:val="en-US" w:eastAsia="zh-CN"/>
        </w:rPr>
        <w:t>，验证进尺1384m，放水量约110m</w:t>
      </w:r>
      <w:r>
        <w:rPr>
          <w:rFonts w:hint="eastAsia" w:ascii="仿宋_GB2312" w:hAnsi="仿宋_GB2312" w:eastAsia="仿宋_GB2312" w:cs="仿宋_GB2312"/>
          <w:b w:val="0"/>
          <w:bCs w:val="0"/>
          <w:color w:val="auto"/>
          <w:sz w:val="32"/>
          <w:szCs w:val="32"/>
          <w:highlight w:val="none"/>
          <w:vertAlign w:val="superscript"/>
          <w:lang w:val="en-US" w:eastAsia="zh-CN"/>
        </w:rPr>
        <w:t>3</w:t>
      </w:r>
      <w:r>
        <w:rPr>
          <w:rFonts w:hint="eastAsia" w:ascii="仿宋_GB2312" w:hAnsi="仿宋_GB2312" w:eastAsia="仿宋_GB2312" w:cs="仿宋_GB2312"/>
          <w:b w:val="0"/>
          <w:bCs w:val="0"/>
          <w:color w:val="auto"/>
          <w:sz w:val="32"/>
          <w:szCs w:val="32"/>
          <w:highlight w:val="none"/>
          <w:lang w:val="en-US" w:eastAsia="zh-CN"/>
        </w:rPr>
        <w:t>。</w:t>
      </w:r>
    </w:p>
    <w:p w14:paraId="4AF3BC18">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594"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（3）严格现场安全管理方面。一是</w:t>
      </w:r>
      <w:r>
        <w:rPr>
          <w:rFonts w:hint="eastAsia" w:ascii="仿宋_GB2312" w:hAnsi="仿宋_GB2312" w:eastAsia="仿宋_GB2312" w:cs="仿宋_GB2312"/>
          <w:b w:val="0"/>
          <w:bCs w:val="0"/>
          <w:color w:val="auto"/>
          <w:sz w:val="32"/>
          <w:szCs w:val="32"/>
          <w:highlight w:val="none"/>
          <w:lang w:val="en-US" w:eastAsia="zh-CN"/>
        </w:rPr>
        <w:t>优化层级管理手段，抓好素质提升，确保现场施工安全。以强化矿领导分包管理、科室专业管理、区队自主管理、安全监督管理为核心，明确责任和分工，共同提升管理水平；组织开展区队对标互学、精准帮扶、自主提升，以安全标兵、优秀班组、先进区队为引导，全面加强班组建设和职工素质提升。</w:t>
      </w:r>
      <w:r>
        <w:rPr>
          <w:rFonts w:hint="eastAsia" w:ascii="仿宋_GB2312" w:hAnsi="仿宋_GB2312" w:eastAsia="仿宋_GB2312" w:cs="仿宋_GB2312"/>
          <w:b/>
          <w:bCs/>
          <w:color w:val="auto"/>
          <w:sz w:val="32"/>
          <w:szCs w:val="32"/>
          <w:highlight w:val="none"/>
          <w:lang w:val="en-US" w:eastAsia="zh-CN"/>
        </w:rPr>
        <w:t>二是</w:t>
      </w:r>
      <w:r>
        <w:rPr>
          <w:rFonts w:hint="eastAsia" w:ascii="仿宋_GB2312" w:hAnsi="仿宋_GB2312" w:eastAsia="仿宋_GB2312" w:cs="仿宋_GB2312"/>
          <w:b w:val="0"/>
          <w:bCs w:val="0"/>
          <w:color w:val="auto"/>
          <w:sz w:val="32"/>
          <w:szCs w:val="32"/>
          <w:highlight w:val="none"/>
          <w:lang w:val="en-US" w:eastAsia="zh-CN"/>
        </w:rPr>
        <w:t>控风险、消隐患。制定了“二卡合一”的职工风险告知卡和应急处置卡，要求入井人员每人携带，严格按照人、岗、责、险进行逐级管控，将风险控制在源头。制定了以分管矿领导牵头查隐患、抓隐患、除隐患的有效机制，所有隐患必须由分管矿领导签字认定、组织消除，其次建立了工业视频巡视机制，实现“线上+线下”全时巡视、全域巡查。</w:t>
      </w:r>
    </w:p>
    <w:p w14:paraId="6A720D84">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594" w:firstLineChars="200"/>
        <w:jc w:val="both"/>
        <w:textAlignment w:val="auto"/>
        <w:rPr>
          <w:rFonts w:hint="eastAsia" w:ascii="仿宋_GB2312" w:hAnsi="仿宋_GB2312" w:eastAsia="仿宋_GB2312" w:cs="仿宋_GB2312"/>
          <w:b w:val="0"/>
          <w:bCs w:val="0"/>
          <w:color w:val="auto"/>
          <w:sz w:val="32"/>
          <w:szCs w:val="32"/>
          <w:highlight w:val="yellow"/>
          <w:lang w:val="en-US" w:eastAsia="zh-CN"/>
        </w:rPr>
      </w:pPr>
      <w:r>
        <w:rPr>
          <w:rFonts w:hint="eastAsia" w:ascii="仿宋_GB2312" w:hAnsi="仿宋_GB2312" w:eastAsia="仿宋_GB2312" w:cs="仿宋_GB2312"/>
          <w:b/>
          <w:bCs/>
          <w:color w:val="auto"/>
          <w:sz w:val="32"/>
          <w:szCs w:val="32"/>
          <w:highlight w:val="none"/>
          <w:lang w:val="en-US" w:eastAsia="zh-CN"/>
        </w:rPr>
        <w:t>（4）加强技术管理工作方面。一是</w:t>
      </w:r>
      <w:r>
        <w:rPr>
          <w:rFonts w:hint="eastAsia" w:ascii="仿宋_GB2312" w:hAnsi="仿宋_GB2312" w:eastAsia="仿宋_GB2312" w:cs="仿宋_GB2312"/>
          <w:b w:val="0"/>
          <w:bCs w:val="0"/>
          <w:color w:val="auto"/>
          <w:sz w:val="32"/>
          <w:szCs w:val="32"/>
          <w:highlight w:val="none"/>
          <w:lang w:val="en-US" w:eastAsia="zh-CN"/>
        </w:rPr>
        <w:t>强化专业技术提升。与胡家河煤矿达成帮扶协议，在机电管理、灾害防治、标准化建设进行技术帮扶和现场指导，迅速提升了煤矿企业专业技术水平。</w:t>
      </w:r>
      <w:r>
        <w:rPr>
          <w:rFonts w:hint="eastAsia" w:ascii="仿宋_GB2312" w:hAnsi="仿宋_GB2312" w:eastAsia="仿宋_GB2312" w:cs="仿宋_GB2312"/>
          <w:b/>
          <w:bCs/>
          <w:color w:val="auto"/>
          <w:sz w:val="32"/>
          <w:szCs w:val="32"/>
          <w:highlight w:val="none"/>
          <w:lang w:val="en-US" w:eastAsia="zh-CN"/>
        </w:rPr>
        <w:t>二是</w:t>
      </w:r>
      <w:r>
        <w:rPr>
          <w:rFonts w:hint="eastAsia" w:ascii="仿宋_GB2312" w:hAnsi="仿宋_GB2312" w:eastAsia="仿宋_GB2312" w:cs="仿宋_GB2312"/>
          <w:b w:val="0"/>
          <w:bCs w:val="0"/>
          <w:color w:val="auto"/>
          <w:sz w:val="32"/>
          <w:szCs w:val="32"/>
          <w:highlight w:val="none"/>
          <w:lang w:val="en-US" w:eastAsia="zh-CN"/>
        </w:rPr>
        <w:t>多元素、众手段、全方位，加大灾害治理工作。聘请防灭火治理、瓦斯治理、顶板支护等专家、教授对煤矿进行全面诊断十余次，“出点子、拿主意”会诊把脉、查缺补漏，有效提高灾害治理工作。其次加大专业技术人才配备，事故后新增专业技术人才15人，在提升技术体系建设的同时加强人才培养和储备工作。</w:t>
      </w:r>
    </w:p>
    <w:p w14:paraId="064D94EE">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594" w:firstLineChars="200"/>
        <w:jc w:val="both"/>
        <w:textAlignment w:val="auto"/>
        <w:rPr>
          <w:rFonts w:hint="eastAsia" w:ascii="黑体" w:hAnsi="黑体" w:eastAsia="黑体" w:cs="黑体"/>
          <w:b w:val="0"/>
          <w:bCs w:val="0"/>
          <w:color w:val="auto"/>
          <w:kern w:val="2"/>
          <w:sz w:val="32"/>
          <w:szCs w:val="32"/>
          <w:highlight w:val="none"/>
          <w:lang w:val="en-US" w:eastAsia="zh-CN" w:bidi="ar-SA"/>
        </w:rPr>
      </w:pPr>
      <w:r>
        <w:rPr>
          <w:rFonts w:hint="eastAsia" w:ascii="黑体" w:hAnsi="黑体" w:eastAsia="黑体" w:cs="黑体"/>
          <w:b w:val="0"/>
          <w:bCs w:val="0"/>
          <w:color w:val="auto"/>
          <w:kern w:val="2"/>
          <w:sz w:val="32"/>
          <w:szCs w:val="32"/>
          <w:highlight w:val="none"/>
          <w:lang w:val="en-US" w:eastAsia="zh-CN" w:bidi="ar-SA"/>
        </w:rPr>
        <w:t>三、总体评估意见</w:t>
      </w:r>
    </w:p>
    <w:p w14:paraId="704FA439">
      <w:pPr>
        <w:pStyle w:val="8"/>
        <w:keepNext w:val="0"/>
        <w:keepLines w:val="0"/>
        <w:pageBreakBefore w:val="0"/>
        <w:widowControl w:val="0"/>
        <w:kinsoku/>
        <w:wordWrap/>
        <w:overflowPunct/>
        <w:topLinePunct w:val="0"/>
        <w:bidi w:val="0"/>
        <w:adjustRightInd w:val="0"/>
        <w:snapToGrid w:val="0"/>
        <w:spacing w:line="560" w:lineRule="exact"/>
        <w:ind w:left="0" w:leftChars="0" w:firstLine="594" w:firstLineChars="200"/>
        <w:jc w:val="both"/>
        <w:textAlignment w:val="auto"/>
        <w:rPr>
          <w:rFonts w:hint="eastAsia" w:ascii="仿宋_GB2312" w:hAnsi="仿宋_GB2312" w:eastAsia="仿宋_GB2312" w:cs="仿宋_GB2312"/>
          <w:b w:val="0"/>
          <w:bCs w:val="0"/>
          <w:color w:val="000000"/>
          <w:kern w:val="0"/>
          <w:sz w:val="32"/>
          <w:szCs w:val="32"/>
          <w:highlight w:val="none"/>
          <w:shd w:val="clear" w:color="080000" w:fill="FFFFFF"/>
          <w:lang w:val="en-US" w:eastAsia="zh-CN" w:bidi="ar-SA"/>
        </w:rPr>
      </w:pPr>
      <w:bookmarkStart w:id="0" w:name="_Hlk137080753"/>
      <w:r>
        <w:rPr>
          <w:rFonts w:hint="eastAsia" w:ascii="仿宋_GB2312" w:hAnsi="仿宋_GB2312" w:eastAsia="仿宋_GB2312" w:cs="仿宋_GB2312"/>
          <w:b w:val="0"/>
          <w:bCs w:val="0"/>
          <w:color w:val="000000"/>
          <w:kern w:val="0"/>
          <w:sz w:val="32"/>
          <w:szCs w:val="32"/>
          <w:highlight w:val="none"/>
          <w:shd w:val="clear" w:color="080000" w:fill="FFFFFF"/>
          <w:lang w:val="en-US" w:eastAsia="zh-CN" w:bidi="ar-SA"/>
        </w:rPr>
        <w:t>永寿县人民政府、</w:t>
      </w:r>
      <w:r>
        <w:rPr>
          <w:rFonts w:hint="eastAsia" w:ascii="仿宋_GB2312" w:hAnsi="仿宋_GB2312" w:eastAsia="仿宋_GB2312" w:cs="仿宋_GB2312"/>
          <w:color w:val="auto"/>
          <w:kern w:val="0"/>
          <w:sz w:val="32"/>
          <w:szCs w:val="32"/>
          <w:highlight w:val="none"/>
          <w:shd w:val="clear" w:color="080000" w:fill="FFFFFF"/>
          <w:lang w:eastAsia="zh-CN"/>
        </w:rPr>
        <w:t>永寿县</w:t>
      </w:r>
      <w:r>
        <w:rPr>
          <w:rFonts w:hint="eastAsia" w:ascii="仿宋_GB2312" w:hAnsi="仿宋_GB2312" w:eastAsia="仿宋_GB2312" w:cs="仿宋_GB2312"/>
          <w:color w:val="auto"/>
          <w:kern w:val="0"/>
          <w:sz w:val="32"/>
          <w:szCs w:val="32"/>
          <w:highlight w:val="none"/>
          <w:shd w:val="clear" w:color="080000" w:fill="FFFFFF"/>
          <w:lang w:val="en-US" w:eastAsia="zh-CN"/>
        </w:rPr>
        <w:t>应急管理局</w:t>
      </w:r>
      <w:r>
        <w:rPr>
          <w:rFonts w:hint="eastAsia" w:ascii="仿宋_GB2312" w:hAnsi="仿宋_GB2312" w:eastAsia="仿宋_GB2312" w:cs="仿宋_GB2312"/>
          <w:b w:val="0"/>
          <w:bCs w:val="0"/>
          <w:color w:val="000000"/>
          <w:kern w:val="0"/>
          <w:sz w:val="32"/>
          <w:szCs w:val="32"/>
          <w:highlight w:val="none"/>
          <w:shd w:val="clear" w:color="080000" w:fill="FFFFFF"/>
          <w:lang w:val="en-US" w:eastAsia="zh-CN" w:bidi="ar-SA"/>
        </w:rPr>
        <w:t>能够按照事故结案通知和事故调查报告的要求，对事故责任追究、防范和整改措施建议进行了落实，辖区煤矿安全生产形势保持稳定，但地方监管责任落实仍需进一步加强；</w:t>
      </w:r>
      <w:bookmarkEnd w:id="0"/>
      <w:r>
        <w:rPr>
          <w:rFonts w:hint="eastAsia" w:ascii="仿宋_GB2312" w:hAnsi="仿宋_GB2312" w:eastAsia="仿宋_GB2312" w:cs="仿宋_GB2312"/>
          <w:b w:val="0"/>
          <w:bCs w:val="0"/>
          <w:color w:val="000000"/>
          <w:kern w:val="0"/>
          <w:sz w:val="32"/>
          <w:szCs w:val="32"/>
          <w:highlight w:val="none"/>
          <w:shd w:val="clear" w:color="080000" w:fill="FFFFFF"/>
          <w:lang w:val="en-US" w:eastAsia="zh-CN" w:bidi="ar-SA"/>
        </w:rPr>
        <w:t>碾子沟煤矿对事故防范和整改措施建议进行了落实，但仍存在未</w:t>
      </w:r>
      <w:r>
        <w:rPr>
          <w:rFonts w:hint="eastAsia" w:ascii="仿宋_GB2312" w:hAnsi="仿宋_GB2312" w:eastAsia="仿宋_GB2312" w:cs="仿宋_GB2312"/>
          <w:b w:val="0"/>
          <w:bCs w:val="0"/>
          <w:spacing w:val="0"/>
          <w:w w:val="100"/>
          <w:kern w:val="2"/>
          <w:position w:val="0"/>
          <w:sz w:val="32"/>
          <w:szCs w:val="32"/>
          <w:highlight w:val="none"/>
          <w:shd w:val="clear" w:color="auto" w:fill="auto"/>
          <w:lang w:val="en-US" w:eastAsia="zh-CN" w:bidi="ar-SA"/>
        </w:rPr>
        <w:t>有效杜绝人员违章</w:t>
      </w:r>
      <w:r>
        <w:rPr>
          <w:rFonts w:hint="eastAsia" w:ascii="仿宋_GB2312" w:hAnsi="仿宋_GB2312" w:eastAsia="仿宋_GB2312" w:cs="仿宋_GB2312"/>
          <w:b w:val="0"/>
          <w:bCs w:val="0"/>
          <w:color w:val="000000"/>
          <w:kern w:val="0"/>
          <w:sz w:val="32"/>
          <w:szCs w:val="32"/>
          <w:highlight w:val="none"/>
          <w:shd w:val="clear" w:color="080000" w:fill="FFFFFF"/>
          <w:lang w:val="en-US" w:eastAsia="zh-CN" w:bidi="ar-SA"/>
        </w:rPr>
        <w:t>、操作规程、安全措施制定和人员培训欠缺以及治本攻坚三年行动制定的年度攻坚任务推动缓慢等问题，需进一步加强和整改。</w:t>
      </w:r>
    </w:p>
    <w:p w14:paraId="78E21771">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594" w:firstLineChars="200"/>
        <w:jc w:val="both"/>
        <w:textAlignment w:val="auto"/>
        <w:rPr>
          <w:rFonts w:hint="eastAsia" w:ascii="仿宋_GB2312" w:hAnsi="仿宋_GB2312" w:eastAsia="仿宋_GB2312" w:cs="仿宋_GB2312"/>
          <w:b w:val="0"/>
          <w:bCs w:val="0"/>
          <w:color w:val="000000"/>
          <w:kern w:val="0"/>
          <w:sz w:val="32"/>
          <w:szCs w:val="32"/>
          <w:highlight w:val="yellow"/>
          <w:shd w:val="clear" w:color="080000" w:fill="FFFFFF"/>
          <w:lang w:val="en-US" w:eastAsia="zh-CN" w:bidi="ar-SA"/>
        </w:rPr>
      </w:pPr>
      <w:r>
        <w:rPr>
          <w:rFonts w:hint="eastAsia" w:ascii="仿宋_GB2312" w:hAnsi="仿宋_GB2312" w:eastAsia="仿宋_GB2312" w:cs="仿宋_GB2312"/>
          <w:b w:val="0"/>
          <w:bCs w:val="0"/>
          <w:color w:val="000000"/>
          <w:kern w:val="0"/>
          <w:sz w:val="32"/>
          <w:szCs w:val="32"/>
          <w:highlight w:val="none"/>
          <w:shd w:val="clear" w:color="080000" w:fill="FFFFFF"/>
          <w:lang w:val="en-US" w:eastAsia="zh-CN" w:bidi="ar-SA"/>
        </w:rPr>
        <w:t>碾子沟煤矿及有关责任人员按期缴纳了罚款；碾子沟煤矿、永寿县应急管理局有关责任人员责任追究建议已落实到位；其他追责问责建议已落实到位。</w:t>
      </w:r>
    </w:p>
    <w:p w14:paraId="3E3BEA76">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594" w:firstLineChars="200"/>
        <w:jc w:val="both"/>
        <w:textAlignment w:val="auto"/>
        <w:rPr>
          <w:rFonts w:hint="eastAsia" w:ascii="黑体" w:hAnsi="黑体" w:eastAsia="黑体" w:cs="黑体"/>
          <w:b w:val="0"/>
          <w:bCs w:val="0"/>
          <w:color w:val="auto"/>
          <w:kern w:val="2"/>
          <w:sz w:val="32"/>
          <w:szCs w:val="32"/>
          <w:highlight w:val="none"/>
          <w:lang w:val="en-US" w:eastAsia="zh-CN" w:bidi="ar-SA"/>
        </w:rPr>
      </w:pPr>
      <w:r>
        <w:rPr>
          <w:rFonts w:hint="eastAsia" w:ascii="黑体" w:hAnsi="黑体" w:eastAsia="黑体" w:cs="黑体"/>
          <w:b w:val="0"/>
          <w:bCs w:val="0"/>
          <w:color w:val="auto"/>
          <w:kern w:val="2"/>
          <w:sz w:val="32"/>
          <w:szCs w:val="32"/>
          <w:highlight w:val="none"/>
          <w:lang w:val="en-US" w:eastAsia="zh-CN" w:bidi="ar-SA"/>
        </w:rPr>
        <w:t>四、存在的问题和工作建议</w:t>
      </w:r>
    </w:p>
    <w:p w14:paraId="48E5C077">
      <w:pPr>
        <w:pStyle w:val="8"/>
        <w:keepNext w:val="0"/>
        <w:keepLines w:val="0"/>
        <w:pageBreakBefore w:val="0"/>
        <w:widowControl w:val="0"/>
        <w:kinsoku/>
        <w:wordWrap/>
        <w:overflowPunct/>
        <w:topLinePunct w:val="0"/>
        <w:bidi w:val="0"/>
        <w:adjustRightInd w:val="0"/>
        <w:snapToGrid w:val="0"/>
        <w:spacing w:line="560" w:lineRule="exact"/>
        <w:ind w:left="0" w:leftChars="0" w:firstLine="594" w:firstLineChars="200"/>
        <w:jc w:val="both"/>
        <w:textAlignment w:val="auto"/>
        <w:rPr>
          <w:rFonts w:hint="eastAsia" w:ascii="楷体_GB2312" w:hAnsi="楷体_GB2312" w:eastAsia="楷体_GB2312" w:cs="楷体_GB2312"/>
          <w:b w:val="0"/>
          <w:bCs w:val="0"/>
          <w:sz w:val="32"/>
          <w:szCs w:val="32"/>
          <w:highlight w:val="none"/>
          <w:lang w:val="en-US" w:eastAsia="zh-CN"/>
        </w:rPr>
      </w:pPr>
      <w:r>
        <w:rPr>
          <w:rFonts w:hint="eastAsia" w:ascii="楷体_GB2312" w:hAnsi="楷体_GB2312" w:eastAsia="楷体_GB2312" w:cs="楷体_GB2312"/>
          <w:b w:val="0"/>
          <w:bCs w:val="0"/>
          <w:sz w:val="32"/>
          <w:szCs w:val="32"/>
          <w:highlight w:val="none"/>
          <w:lang w:val="en-US" w:eastAsia="zh-CN"/>
        </w:rPr>
        <w:t>（一）存在的问题</w:t>
      </w:r>
    </w:p>
    <w:p w14:paraId="24F89E09">
      <w:pPr>
        <w:keepNext w:val="0"/>
        <w:keepLines w:val="0"/>
        <w:pageBreakBefore w:val="0"/>
        <w:widowControl w:val="0"/>
        <w:shd w:val="clear" w:color="auto" w:fill="auto"/>
        <w:kinsoku/>
        <w:wordWrap/>
        <w:overflowPunct/>
        <w:topLinePunct w:val="0"/>
        <w:autoSpaceDE/>
        <w:autoSpaceDN/>
        <w:bidi w:val="0"/>
        <w:adjustRightInd/>
        <w:snapToGrid/>
        <w:spacing w:before="0" w:line="560" w:lineRule="exact"/>
        <w:ind w:left="0" w:leftChars="0" w:right="0" w:firstLine="594" w:firstLineChars="200"/>
        <w:jc w:val="both"/>
        <w:textAlignment w:val="auto"/>
        <w:rPr>
          <w:rFonts w:hint="default" w:ascii="仿宋_GB2312" w:hAnsi="仿宋_GB2312" w:eastAsia="仿宋_GB2312" w:cs="仿宋_GB2312"/>
          <w:b w:val="0"/>
          <w:bCs w:val="0"/>
          <w:spacing w:val="0"/>
          <w:w w:val="100"/>
          <w:kern w:val="2"/>
          <w:position w:val="0"/>
          <w:sz w:val="32"/>
          <w:szCs w:val="32"/>
          <w:highlight w:val="yellow"/>
          <w:shd w:val="clear" w:color="auto" w:fill="auto"/>
          <w:lang w:val="en-US" w:eastAsia="zh-CN" w:bidi="ar-SA"/>
        </w:rPr>
      </w:pPr>
      <w:r>
        <w:rPr>
          <w:rFonts w:hint="eastAsia" w:ascii="仿宋_GB2312" w:hAnsi="仿宋_GB2312" w:eastAsia="仿宋_GB2312" w:cs="仿宋_GB2312"/>
          <w:b/>
          <w:bCs/>
          <w:spacing w:val="0"/>
          <w:w w:val="100"/>
          <w:kern w:val="2"/>
          <w:position w:val="0"/>
          <w:sz w:val="32"/>
          <w:szCs w:val="32"/>
          <w:highlight w:val="none"/>
          <w:shd w:val="clear" w:color="auto" w:fill="auto"/>
          <w:lang w:val="en-US" w:eastAsia="zh-CN" w:bidi="ar-SA"/>
        </w:rPr>
        <w:t>1.企业主体责任落实还有所欠缺。</w:t>
      </w:r>
      <w:r>
        <w:rPr>
          <w:rFonts w:hint="eastAsia" w:ascii="仿宋_GB2312" w:hAnsi="仿宋_GB2312" w:eastAsia="仿宋_GB2312" w:cs="仿宋_GB2312"/>
          <w:b/>
          <w:bCs/>
          <w:spacing w:val="0"/>
          <w:w w:val="100"/>
          <w:kern w:val="2"/>
          <w:position w:val="0"/>
          <w:sz w:val="32"/>
          <w:szCs w:val="32"/>
          <w:shd w:val="clear" w:color="auto" w:fill="auto"/>
          <w:lang w:val="en-US" w:eastAsia="zh-CN" w:bidi="ar-SA"/>
        </w:rPr>
        <w:t>一是</w:t>
      </w:r>
      <w:r>
        <w:rPr>
          <w:rFonts w:hint="eastAsia" w:ascii="仿宋_GB2312" w:hAnsi="仿宋_GB2312" w:eastAsia="仿宋_GB2312" w:cs="仿宋_GB2312"/>
          <w:b w:val="0"/>
          <w:bCs w:val="0"/>
          <w:spacing w:val="0"/>
          <w:w w:val="100"/>
          <w:kern w:val="2"/>
          <w:position w:val="0"/>
          <w:sz w:val="32"/>
          <w:szCs w:val="32"/>
          <w:shd w:val="clear" w:color="auto" w:fill="auto"/>
          <w:lang w:val="en-US" w:eastAsia="zh-CN" w:bidi="ar-SA"/>
        </w:rPr>
        <w:t>综合利用技防、人防等手段有效杜绝人员违章方面还有差距。通过现场检查、视频监控等方法发现“三违”现象依然存在。</w:t>
      </w:r>
      <w:r>
        <w:rPr>
          <w:rFonts w:hint="eastAsia" w:ascii="仿宋_GB2312" w:hAnsi="仿宋_GB2312" w:eastAsia="仿宋_GB2312" w:cs="仿宋_GB2312"/>
          <w:b/>
          <w:bCs/>
          <w:spacing w:val="0"/>
          <w:w w:val="100"/>
          <w:kern w:val="2"/>
          <w:position w:val="0"/>
          <w:sz w:val="32"/>
          <w:szCs w:val="32"/>
          <w:shd w:val="clear" w:color="auto" w:fill="auto"/>
          <w:lang w:val="en-US" w:eastAsia="zh-CN" w:bidi="ar-SA"/>
        </w:rPr>
        <w:t>二是</w:t>
      </w:r>
      <w:r>
        <w:rPr>
          <w:rFonts w:hint="eastAsia" w:ascii="仿宋_GB2312" w:hAnsi="仿宋_GB2312" w:eastAsia="仿宋_GB2312" w:cs="仿宋_GB2312"/>
          <w:b w:val="0"/>
          <w:bCs w:val="0"/>
          <w:spacing w:val="0"/>
          <w:w w:val="100"/>
          <w:kern w:val="2"/>
          <w:position w:val="0"/>
          <w:sz w:val="32"/>
          <w:szCs w:val="32"/>
          <w:shd w:val="clear" w:color="auto" w:fill="auto"/>
          <w:lang w:val="en-US" w:eastAsia="zh-CN" w:bidi="ar-SA"/>
        </w:rPr>
        <w:t>碾子沟煤矿101综采工作面回采完毕后，现接续102工作面采用综放工艺。矿井对新设备、新工艺的操作规程、安全措施制定和人员培训存在欠缺。</w:t>
      </w:r>
      <w:r>
        <w:rPr>
          <w:rFonts w:hint="eastAsia" w:ascii="仿宋_GB2312" w:hAnsi="仿宋_GB2312" w:eastAsia="仿宋_GB2312" w:cs="仿宋_GB2312"/>
          <w:b/>
          <w:bCs/>
          <w:spacing w:val="0"/>
          <w:w w:val="100"/>
          <w:kern w:val="2"/>
          <w:position w:val="0"/>
          <w:sz w:val="32"/>
          <w:szCs w:val="32"/>
          <w:shd w:val="clear" w:color="auto" w:fill="auto"/>
          <w:lang w:val="en-US" w:eastAsia="zh-CN" w:bidi="ar-SA"/>
        </w:rPr>
        <w:t>三是</w:t>
      </w:r>
      <w:r>
        <w:rPr>
          <w:rFonts w:hint="eastAsia" w:ascii="仿宋_GB2312" w:hAnsi="仿宋_GB2312" w:eastAsia="仿宋_GB2312" w:cs="仿宋_GB2312"/>
          <w:b w:val="0"/>
          <w:bCs w:val="0"/>
          <w:spacing w:val="0"/>
          <w:w w:val="100"/>
          <w:kern w:val="2"/>
          <w:position w:val="0"/>
          <w:sz w:val="32"/>
          <w:szCs w:val="32"/>
          <w:shd w:val="clear" w:color="auto" w:fill="auto"/>
          <w:lang w:val="en-US" w:eastAsia="zh-CN" w:bidi="ar-SA"/>
        </w:rPr>
        <w:t>矿井治本攻坚三年行动制定的年度攻坚任务推动缓慢。如推动实施“透明地质”，回采工作面瓦斯防治、防灭火研究等工作还未完成。</w:t>
      </w:r>
    </w:p>
    <w:p w14:paraId="1B7CC5D7">
      <w:pPr>
        <w:keepNext w:val="0"/>
        <w:keepLines w:val="0"/>
        <w:pageBreakBefore w:val="0"/>
        <w:widowControl w:val="0"/>
        <w:shd w:val="clear" w:color="auto" w:fill="auto"/>
        <w:kinsoku/>
        <w:wordWrap/>
        <w:overflowPunct/>
        <w:topLinePunct w:val="0"/>
        <w:autoSpaceDE/>
        <w:autoSpaceDN/>
        <w:bidi w:val="0"/>
        <w:adjustRightInd/>
        <w:snapToGrid/>
        <w:spacing w:before="0" w:line="560" w:lineRule="exact"/>
        <w:ind w:left="0" w:leftChars="0" w:right="0" w:firstLine="594" w:firstLineChars="200"/>
        <w:jc w:val="both"/>
        <w:textAlignment w:val="auto"/>
        <w:rPr>
          <w:rFonts w:hint="eastAsia" w:ascii="仿宋_GB2312" w:hAnsi="仿宋_GB2312" w:eastAsia="仿宋_GB2312" w:cs="仿宋_GB2312"/>
          <w:b w:val="0"/>
          <w:bCs w:val="0"/>
          <w:spacing w:val="0"/>
          <w:w w:val="100"/>
          <w:kern w:val="2"/>
          <w:position w:val="0"/>
          <w:sz w:val="32"/>
          <w:szCs w:val="32"/>
          <w:highlight w:val="yellow"/>
          <w:shd w:val="clear" w:color="auto" w:fill="auto"/>
          <w:lang w:val="en-US" w:eastAsia="zh-CN" w:bidi="ar-SA"/>
        </w:rPr>
      </w:pPr>
      <w:r>
        <w:rPr>
          <w:rFonts w:hint="eastAsia" w:ascii="仿宋_GB2312" w:hAnsi="仿宋_GB2312" w:eastAsia="仿宋_GB2312" w:cs="仿宋_GB2312"/>
          <w:b/>
          <w:bCs/>
          <w:spacing w:val="0"/>
          <w:w w:val="100"/>
          <w:kern w:val="2"/>
          <w:position w:val="0"/>
          <w:sz w:val="32"/>
          <w:szCs w:val="32"/>
          <w:highlight w:val="none"/>
          <w:shd w:val="clear" w:color="auto" w:fill="auto"/>
          <w:lang w:val="en-US" w:eastAsia="zh-CN" w:bidi="ar-SA"/>
        </w:rPr>
        <w:t>2.地方监管责任落实还需要加强。</w:t>
      </w:r>
      <w:r>
        <w:rPr>
          <w:rFonts w:hint="eastAsia" w:ascii="仿宋_GB2312" w:hAnsi="仿宋_GB2312" w:eastAsia="仿宋_GB2312" w:cs="仿宋_GB2312"/>
          <w:b/>
          <w:bCs/>
          <w:color w:val="auto"/>
          <w:spacing w:val="0"/>
          <w:w w:val="100"/>
          <w:kern w:val="2"/>
          <w:position w:val="0"/>
          <w:sz w:val="32"/>
          <w:szCs w:val="32"/>
          <w:shd w:val="clear" w:color="auto" w:fill="auto"/>
          <w:lang w:val="en-US" w:eastAsia="zh-CN" w:bidi="ar-SA"/>
        </w:rPr>
        <w:t>一是</w:t>
      </w:r>
      <w:r>
        <w:rPr>
          <w:rFonts w:hint="eastAsia" w:ascii="仿宋_GB2312" w:hAnsi="仿宋_GB2312" w:eastAsia="仿宋_GB2312" w:cs="仿宋_GB2312"/>
          <w:b w:val="0"/>
          <w:bCs w:val="0"/>
          <w:color w:val="auto"/>
          <w:spacing w:val="0"/>
          <w:w w:val="100"/>
          <w:kern w:val="2"/>
          <w:position w:val="0"/>
          <w:sz w:val="32"/>
          <w:szCs w:val="32"/>
          <w:shd w:val="clear" w:color="auto" w:fill="auto"/>
          <w:lang w:val="en-US" w:eastAsia="zh-CN" w:bidi="ar-SA"/>
        </w:rPr>
        <w:t>永寿县政府</w:t>
      </w:r>
      <w:r>
        <w:rPr>
          <w:rFonts w:hint="eastAsia" w:ascii="仿宋_GB2312" w:hAnsi="仿宋_GB2312" w:eastAsia="仿宋_GB2312" w:cs="仿宋_GB2312"/>
          <w:b w:val="0"/>
          <w:bCs w:val="0"/>
          <w:spacing w:val="0"/>
          <w:w w:val="100"/>
          <w:kern w:val="2"/>
          <w:position w:val="0"/>
          <w:sz w:val="32"/>
          <w:szCs w:val="32"/>
          <w:shd w:val="clear" w:color="auto" w:fill="auto"/>
          <w:lang w:val="en-US" w:eastAsia="zh-CN" w:bidi="ar-SA"/>
        </w:rPr>
        <w:t>对全县煤矿安全风险研判发现的主要风险指导督促落实管控措施有差距。</w:t>
      </w:r>
      <w:r>
        <w:rPr>
          <w:rFonts w:hint="eastAsia" w:ascii="仿宋_GB2312" w:hAnsi="仿宋_GB2312" w:eastAsia="仿宋_GB2312" w:cs="仿宋_GB2312"/>
          <w:b/>
          <w:bCs/>
          <w:color w:val="auto"/>
          <w:spacing w:val="0"/>
          <w:w w:val="100"/>
          <w:kern w:val="2"/>
          <w:position w:val="0"/>
          <w:sz w:val="32"/>
          <w:szCs w:val="32"/>
          <w:shd w:val="clear" w:color="auto" w:fill="auto"/>
          <w:lang w:val="en-US" w:eastAsia="zh-CN" w:bidi="ar-SA"/>
        </w:rPr>
        <w:t>二是</w:t>
      </w:r>
      <w:r>
        <w:rPr>
          <w:rFonts w:hint="eastAsia" w:ascii="仿宋_GB2312" w:hAnsi="仿宋_GB2312" w:eastAsia="仿宋_GB2312" w:cs="仿宋_GB2312"/>
          <w:b w:val="0"/>
          <w:bCs w:val="0"/>
          <w:color w:val="auto"/>
          <w:spacing w:val="0"/>
          <w:w w:val="100"/>
          <w:kern w:val="2"/>
          <w:position w:val="0"/>
          <w:sz w:val="32"/>
          <w:szCs w:val="32"/>
          <w:shd w:val="clear" w:color="auto" w:fill="auto"/>
          <w:lang w:val="en-US" w:eastAsia="zh-CN" w:bidi="ar-SA"/>
        </w:rPr>
        <w:t>永寿县应急管理局在两办《意见》“八条硬措施”的宣贯落实和监管人员现场技能提升方面需进一步加强，在推进煤矿智能化建设方面指导服务不足。</w:t>
      </w:r>
    </w:p>
    <w:p w14:paraId="6526D741">
      <w:pPr>
        <w:pStyle w:val="8"/>
        <w:keepNext w:val="0"/>
        <w:keepLines w:val="0"/>
        <w:pageBreakBefore w:val="0"/>
        <w:widowControl w:val="0"/>
        <w:kinsoku/>
        <w:wordWrap/>
        <w:overflowPunct/>
        <w:topLinePunct w:val="0"/>
        <w:bidi w:val="0"/>
        <w:adjustRightInd w:val="0"/>
        <w:snapToGrid w:val="0"/>
        <w:spacing w:line="560" w:lineRule="exact"/>
        <w:ind w:left="0" w:leftChars="0" w:firstLine="594" w:firstLineChars="200"/>
        <w:jc w:val="both"/>
        <w:textAlignment w:val="auto"/>
        <w:rPr>
          <w:rFonts w:hint="eastAsia" w:ascii="楷体_GB2312" w:hAnsi="楷体_GB2312" w:eastAsia="楷体_GB2312" w:cs="楷体_GB2312"/>
          <w:b w:val="0"/>
          <w:bCs w:val="0"/>
          <w:sz w:val="32"/>
          <w:szCs w:val="32"/>
          <w:highlight w:val="yellow"/>
        </w:rPr>
      </w:pPr>
      <w:r>
        <w:rPr>
          <w:rFonts w:hint="eastAsia" w:ascii="楷体_GB2312" w:hAnsi="楷体_GB2312" w:eastAsia="楷体_GB2312" w:cs="楷体_GB2312"/>
          <w:b w:val="0"/>
          <w:bCs w:val="0"/>
          <w:sz w:val="32"/>
          <w:szCs w:val="32"/>
          <w:highlight w:val="none"/>
        </w:rPr>
        <w:t>（二）工作建议</w:t>
      </w:r>
    </w:p>
    <w:p w14:paraId="3FB29CBE">
      <w:pPr>
        <w:keepNext w:val="0"/>
        <w:keepLines w:val="0"/>
        <w:pageBreakBefore w:val="0"/>
        <w:widowControl w:val="0"/>
        <w:shd w:val="clear" w:color="auto" w:fill="auto"/>
        <w:kinsoku/>
        <w:wordWrap/>
        <w:overflowPunct/>
        <w:topLinePunct w:val="0"/>
        <w:autoSpaceDE/>
        <w:autoSpaceDN/>
        <w:bidi w:val="0"/>
        <w:adjustRightInd/>
        <w:snapToGrid/>
        <w:spacing w:before="0" w:line="560" w:lineRule="exact"/>
        <w:ind w:left="0" w:leftChars="0" w:right="0" w:firstLine="594" w:firstLineChars="200"/>
        <w:jc w:val="both"/>
        <w:textAlignment w:val="auto"/>
        <w:rPr>
          <w:rFonts w:hint="eastAsia" w:ascii="仿宋_GB2312" w:hAnsi="仿宋_GB2312" w:eastAsia="仿宋_GB2312" w:cs="仿宋_GB2312"/>
          <w:b w:val="0"/>
          <w:bCs w:val="0"/>
          <w:color w:val="000000"/>
          <w:kern w:val="2"/>
          <w:sz w:val="32"/>
          <w:szCs w:val="32"/>
          <w:lang w:val="en-US" w:eastAsia="zh-CN" w:bidi="ar-SA"/>
        </w:rPr>
      </w:pPr>
      <w:r>
        <w:rPr>
          <w:rFonts w:hint="eastAsia" w:ascii="仿宋_GB2312" w:hAnsi="仿宋_GB2312" w:eastAsia="仿宋_GB2312" w:cs="仿宋_GB2312"/>
          <w:b w:val="0"/>
          <w:bCs w:val="0"/>
          <w:color w:val="000000"/>
          <w:kern w:val="0"/>
          <w:sz w:val="32"/>
          <w:szCs w:val="32"/>
          <w:highlight w:val="none"/>
          <w:shd w:val="clear" w:color="080000" w:fill="FFFFFF"/>
          <w:lang w:val="en-US" w:eastAsia="zh-CN" w:bidi="ar-SA"/>
        </w:rPr>
        <w:t>永寿县要进一步落实属地监管责任，</w:t>
      </w:r>
      <w:r>
        <w:rPr>
          <w:rFonts w:hint="eastAsia" w:ascii="仿宋_GB2312" w:hAnsi="仿宋_GB2312" w:eastAsia="仿宋_GB2312" w:cs="仿宋_GB2312"/>
          <w:b w:val="0"/>
          <w:bCs w:val="0"/>
          <w:spacing w:val="7"/>
          <w:sz w:val="32"/>
          <w:szCs w:val="32"/>
          <w:lang w:val="en-US" w:eastAsia="zh-CN"/>
        </w:rPr>
        <w:t>夯实</w:t>
      </w:r>
      <w:r>
        <w:rPr>
          <w:rFonts w:hint="eastAsia" w:ascii="仿宋_GB2312" w:hAnsi="仿宋_GB2312" w:eastAsia="仿宋_GB2312" w:cs="仿宋_GB2312"/>
          <w:b w:val="0"/>
          <w:bCs w:val="0"/>
          <w:color w:val="000000"/>
          <w:kern w:val="0"/>
          <w:sz w:val="32"/>
          <w:szCs w:val="32"/>
          <w:highlight w:val="none"/>
          <w:shd w:val="clear" w:color="080000" w:fill="FFFFFF"/>
          <w:lang w:val="en-US" w:eastAsia="zh-CN" w:bidi="ar-SA"/>
        </w:rPr>
        <w:t>辖区煤矿</w:t>
      </w:r>
      <w:r>
        <w:rPr>
          <w:rFonts w:hint="eastAsia" w:ascii="仿宋_GB2312" w:hAnsi="仿宋_GB2312" w:eastAsia="仿宋_GB2312" w:cs="仿宋_GB2312"/>
          <w:b w:val="0"/>
          <w:bCs w:val="0"/>
          <w:spacing w:val="7"/>
          <w:sz w:val="32"/>
          <w:szCs w:val="32"/>
          <w:lang w:val="en-US" w:eastAsia="zh-CN"/>
        </w:rPr>
        <w:t>企业主体责任，</w:t>
      </w:r>
      <w:r>
        <w:rPr>
          <w:rFonts w:hint="eastAsia" w:ascii="仿宋_GB2312" w:hAnsi="仿宋_GB2312" w:eastAsia="仿宋_GB2312" w:cs="仿宋_GB2312"/>
          <w:b w:val="0"/>
          <w:bCs w:val="0"/>
          <w:color w:val="000000"/>
          <w:kern w:val="2"/>
          <w:sz w:val="32"/>
          <w:szCs w:val="32"/>
          <w:lang w:val="en-US" w:eastAsia="zh-CN" w:bidi="ar-SA"/>
        </w:rPr>
        <w:t>树牢“两个至上”安全理念，抓实抓细各项工作，坚决筑牢安全防线。</w:t>
      </w:r>
    </w:p>
    <w:p w14:paraId="5A161D6A">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before="0" w:line="560" w:lineRule="exact"/>
        <w:ind w:left="0" w:leftChars="0" w:right="0" w:rightChars="0" w:firstLine="594" w:firstLineChars="200"/>
        <w:jc w:val="both"/>
        <w:textAlignment w:val="auto"/>
        <w:rPr>
          <w:rFonts w:hint="eastAsia" w:ascii="仿宋_GB2312" w:hAnsi="仿宋_GB2312" w:eastAsia="仿宋_GB2312" w:cs="仿宋_GB2312"/>
          <w:b/>
          <w:bCs/>
          <w:color w:val="000000"/>
          <w:sz w:val="32"/>
          <w:szCs w:val="32"/>
          <w:lang w:val="en-US" w:eastAsia="zh-CN"/>
        </w:rPr>
      </w:pPr>
      <w:r>
        <w:rPr>
          <w:rFonts w:hint="eastAsia" w:ascii="仿宋_GB2312" w:hAnsi="仿宋_GB2312" w:eastAsia="仿宋_GB2312" w:cs="仿宋_GB2312"/>
          <w:b/>
          <w:bCs/>
          <w:color w:val="000000"/>
          <w:kern w:val="2"/>
          <w:sz w:val="32"/>
          <w:szCs w:val="32"/>
          <w:lang w:val="en-US" w:eastAsia="zh-CN" w:bidi="ar-SA"/>
        </w:rPr>
        <w:t>1.进一步树牢安全发展理念。</w:t>
      </w:r>
      <w:r>
        <w:rPr>
          <w:rFonts w:hint="eastAsia" w:ascii="仿宋_GB2312" w:hAnsi="仿宋_GB2312" w:eastAsia="仿宋_GB2312" w:cs="仿宋_GB2312"/>
          <w:color w:val="000000"/>
          <w:sz w:val="32"/>
          <w:szCs w:val="32"/>
          <w:lang w:val="en-US" w:eastAsia="zh-CN"/>
        </w:rPr>
        <w:t>永寿县委、县政府要切实提高政治站位，深入学习贯彻习近平总书记关于安全生产的重要指示批示精神，进一步增强防范化解重大安全风险的责任感、使命感、紧迫</w:t>
      </w:r>
      <w:r>
        <w:rPr>
          <w:rFonts w:hint="eastAsia" w:ascii="仿宋_GB2312" w:hAnsi="仿宋_GB2312" w:eastAsia="仿宋_GB2312" w:cs="仿宋_GB2312"/>
          <w:color w:val="000000"/>
          <w:sz w:val="32"/>
          <w:szCs w:val="32"/>
          <w:highlight w:val="none"/>
          <w:lang w:val="en-US" w:eastAsia="zh-CN"/>
        </w:rPr>
        <w:t>感，要坚持统筹发展和安全，超前谋划“十五五”期间县域煤矿安全生产规划部署。督促县应急管理局、碾子沟煤矿要</w:t>
      </w:r>
      <w:r>
        <w:rPr>
          <w:rFonts w:hint="eastAsia" w:ascii="仿宋_GB2312" w:hAnsi="仿宋_GB2312" w:eastAsia="仿宋_GB2312" w:cs="仿宋_GB2312"/>
          <w:color w:val="000000"/>
          <w:sz w:val="32"/>
          <w:szCs w:val="32"/>
          <w:lang w:val="en-US" w:eastAsia="zh-CN"/>
        </w:rPr>
        <w:t>加快推进煤矿隐蔽致灾因素普查和专项评估工作，</w:t>
      </w:r>
      <w:r>
        <w:rPr>
          <w:rFonts w:hint="eastAsia" w:ascii="仿宋_GB2312" w:hAnsi="仿宋_GB2312" w:eastAsia="仿宋_GB2312" w:cs="仿宋_GB2312"/>
          <w:color w:val="auto"/>
          <w:sz w:val="32"/>
          <w:szCs w:val="32"/>
          <w:lang w:val="en-US" w:eastAsia="zh-CN"/>
        </w:rPr>
        <w:t>不断提升煤矿重大灾害防治能力。</w:t>
      </w:r>
    </w:p>
    <w:p w14:paraId="58869280">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before="0" w:line="560" w:lineRule="exact"/>
        <w:ind w:left="0" w:leftChars="0" w:right="0" w:rightChars="0" w:firstLine="594" w:firstLineChars="200"/>
        <w:jc w:val="both"/>
        <w:textAlignment w:val="auto"/>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b/>
          <w:bCs/>
          <w:color w:val="000000"/>
          <w:sz w:val="32"/>
          <w:szCs w:val="32"/>
          <w:lang w:val="en-US" w:eastAsia="zh-CN"/>
        </w:rPr>
        <w:t>2.</w:t>
      </w:r>
      <w:r>
        <w:rPr>
          <w:rFonts w:hint="eastAsia" w:ascii="仿宋_GB2312" w:hAnsi="仿宋_GB2312" w:eastAsia="仿宋_GB2312" w:cs="仿宋_GB2312"/>
          <w:b/>
          <w:bCs/>
          <w:color w:val="000000"/>
          <w:kern w:val="2"/>
          <w:sz w:val="32"/>
          <w:szCs w:val="32"/>
          <w:lang w:val="en-US" w:eastAsia="zh-CN" w:bidi="ar-SA"/>
        </w:rPr>
        <w:t>进一步夯实企业主体责任。</w:t>
      </w:r>
      <w:r>
        <w:rPr>
          <w:rFonts w:hint="eastAsia" w:ascii="仿宋_GB2312" w:hAnsi="仿宋_GB2312" w:eastAsia="仿宋_GB2312" w:cs="仿宋_GB2312"/>
          <w:color w:val="000000"/>
          <w:sz w:val="32"/>
          <w:szCs w:val="32"/>
          <w:lang w:val="en-US" w:eastAsia="zh-CN"/>
        </w:rPr>
        <w:t>要督促碾子沟煤矿认真贯彻落实安全生产治本攻坚三年行动要求，确保两办《意见》“八条硬措施”《煤矿安全生产条例》落实到位，切实提高风险隐患排查整改质量，大力提升从业人员素质，针对</w:t>
      </w:r>
      <w:r>
        <w:rPr>
          <w:rFonts w:hint="eastAsia" w:ascii="仿宋_GB2312" w:hAnsi="仿宋_GB2312" w:eastAsia="仿宋_GB2312" w:cs="仿宋_GB2312"/>
          <w:b w:val="0"/>
          <w:bCs w:val="0"/>
          <w:spacing w:val="0"/>
          <w:w w:val="100"/>
          <w:kern w:val="2"/>
          <w:position w:val="0"/>
          <w:sz w:val="32"/>
          <w:szCs w:val="32"/>
          <w:shd w:val="clear" w:color="auto" w:fill="auto"/>
          <w:lang w:val="en-US" w:eastAsia="zh-CN" w:bidi="ar-SA"/>
        </w:rPr>
        <w:t>技术管理和</w:t>
      </w:r>
      <w:r>
        <w:rPr>
          <w:rFonts w:hint="eastAsia" w:ascii="仿宋_GB2312" w:hAnsi="仿宋_GB2312" w:eastAsia="仿宋_GB2312" w:cs="仿宋_GB2312"/>
          <w:color w:val="000000"/>
          <w:sz w:val="32"/>
          <w:szCs w:val="32"/>
          <w:lang w:val="en-US" w:eastAsia="zh-CN"/>
        </w:rPr>
        <w:t>现场管理不到位等问题深入开展整改落实，形成常态化机制</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b w:val="0"/>
          <w:bCs w:val="0"/>
          <w:color w:val="000000"/>
          <w:kern w:val="0"/>
          <w:sz w:val="32"/>
          <w:szCs w:val="32"/>
          <w:highlight w:val="none"/>
          <w:shd w:val="clear" w:color="080000" w:fill="FFFFFF"/>
          <w:lang w:val="en-US" w:eastAsia="zh-CN" w:bidi="ar-SA"/>
        </w:rPr>
        <w:t>全面夯实</w:t>
      </w:r>
      <w:r>
        <w:rPr>
          <w:rFonts w:hint="eastAsia" w:ascii="仿宋_GB2312" w:hAnsi="仿宋_GB2312" w:eastAsia="仿宋_GB2312" w:cs="仿宋_GB2312"/>
          <w:color w:val="000000"/>
          <w:sz w:val="32"/>
          <w:szCs w:val="32"/>
          <w:lang w:val="en-US" w:eastAsia="zh-CN"/>
        </w:rPr>
        <w:t>企业安全主体责任，杜绝零敲碎打事故发生。</w:t>
      </w:r>
    </w:p>
    <w:p w14:paraId="478B54C0">
      <w:pPr>
        <w:pStyle w:val="9"/>
        <w:keepNext w:val="0"/>
        <w:keepLines w:val="0"/>
        <w:pageBreakBefore w:val="0"/>
        <w:widowControl w:val="0"/>
        <w:kinsoku/>
        <w:wordWrap/>
        <w:overflowPunct/>
        <w:topLinePunct w:val="0"/>
        <w:autoSpaceDE/>
        <w:autoSpaceDN/>
        <w:bidi w:val="0"/>
        <w:adjustRightInd w:val="0"/>
        <w:snapToGrid w:val="0"/>
        <w:spacing w:line="560" w:lineRule="exact"/>
        <w:ind w:left="0" w:leftChars="0" w:firstLine="594" w:firstLineChars="200"/>
        <w:jc w:val="both"/>
        <w:textAlignment w:val="auto"/>
        <w:rPr>
          <w:rFonts w:hint="eastAsia" w:ascii="仿宋_GB2312" w:hAnsi="仿宋_GB2312" w:eastAsia="仿宋_GB2312" w:cs="仿宋_GB2312"/>
          <w:color w:val="auto"/>
          <w:kern w:val="0"/>
          <w:sz w:val="32"/>
          <w:szCs w:val="32"/>
          <w:shd w:val="clear" w:color="080000" w:fill="FFFFFF"/>
          <w:lang w:val="en-US" w:eastAsia="zh-CN"/>
        </w:rPr>
      </w:pPr>
    </w:p>
    <w:p w14:paraId="257E090D">
      <w:pPr>
        <w:keepNext w:val="0"/>
        <w:keepLines w:val="0"/>
        <w:pageBreakBefore w:val="0"/>
        <w:kinsoku/>
        <w:wordWrap/>
        <w:overflowPunct/>
        <w:topLinePunct w:val="0"/>
        <w:bidi w:val="0"/>
        <w:spacing w:line="560" w:lineRule="exact"/>
        <w:jc w:val="both"/>
        <w:textAlignment w:val="auto"/>
      </w:pPr>
    </w:p>
    <w:p w14:paraId="11E6AE49">
      <w:pPr>
        <w:keepNext w:val="0"/>
        <w:keepLines w:val="0"/>
        <w:pageBreakBefore w:val="0"/>
        <w:kinsoku/>
        <w:wordWrap/>
        <w:overflowPunct/>
        <w:topLinePunct w:val="0"/>
        <w:bidi w:val="0"/>
        <w:spacing w:line="560" w:lineRule="exact"/>
        <w:jc w:val="both"/>
        <w:textAlignment w:val="auto"/>
      </w:pPr>
    </w:p>
    <w:sectPr>
      <w:footerReference r:id="rId3" w:type="default"/>
      <w:pgSz w:w="11906" w:h="16839"/>
      <w:pgMar w:top="1440" w:right="1800" w:bottom="1440" w:left="1800" w:header="0" w:footer="0" w:gutter="0"/>
      <w:cols w:space="0" w:num="1"/>
      <w:rtlGutter w:val="0"/>
      <w:docGrid w:type="linesAndChars" w:linePitch="634" w:charSpace="-478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A1"/>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MathJax_Vector">
    <w:panose1 w:val="02000603000000000000"/>
    <w:charset w:val="00"/>
    <w:family w:val="auto"/>
    <w:pitch w:val="default"/>
    <w:sig w:usb0="00000001" w:usb1="0000002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A38F66">
    <w:pPr>
      <w:pStyle w:val="2"/>
      <w:jc w:val="center"/>
    </w:pPr>
    <w:r>
      <w:rPr>
        <w:sz w:val="18"/>
      </w:rPr>
      <w:pict>
        <v:shape id="_x0000_s409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path/>
          <v:fill on="f" focussize="0,0"/>
          <v:stroke on="f"/>
          <v:imagedata o:title=""/>
          <o:lock v:ext="edit" aspectratio="f"/>
          <v:textbox inset="0mm,0mm,0mm,0mm" style="mso-fit-shape-to-text:t;">
            <w:txbxContent>
              <w:p w14:paraId="16F8C119">
                <w:pPr>
                  <w:pStyle w:val="2"/>
                  <w:jc w:val="cente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lang w:val="zh-CN" w:eastAsia="zh-CN"/>
                  </w:rPr>
                  <w:t>11</w:t>
                </w:r>
                <w:r>
                  <w:rPr>
                    <w:rFonts w:hint="eastAsia" w:ascii="宋体" w:hAnsi="宋体" w:eastAsia="宋体" w:cs="宋体"/>
                    <w:sz w:val="28"/>
                    <w:szCs w:val="28"/>
                  </w:rPr>
                  <w:fldChar w:fldCharType="end"/>
                </w:r>
              </w:p>
            </w:txbxContent>
          </v:textbox>
        </v:shape>
      </w:pict>
    </w:r>
  </w:p>
  <w:p w14:paraId="1AA8EA57">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DisplayPageBoundaries w:val="1"/>
  <w:embedSystemFonts/>
  <w:bordersDoNotSurroundHeader w:val="1"/>
  <w:bordersDoNotSurroundFooter w:val="1"/>
  <w:documentProtection w:enforcement="0"/>
  <w:defaultTabStop w:val="420"/>
  <w:drawingGridHorizontalSpacing w:val="148"/>
  <w:drawingGridVerticalSpacing w:val="317"/>
  <w:displayHorizontalDrawingGridEvery w:val="2"/>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0E5E"/>
    <w:rsid w:val="000B0E5E"/>
    <w:rsid w:val="00423B99"/>
    <w:rsid w:val="00522102"/>
    <w:rsid w:val="00525DBD"/>
    <w:rsid w:val="00A97848"/>
    <w:rsid w:val="00BF2265"/>
    <w:rsid w:val="033A4BEF"/>
    <w:rsid w:val="07F341CA"/>
    <w:rsid w:val="090C7CD1"/>
    <w:rsid w:val="09B2776D"/>
    <w:rsid w:val="09DC7DB0"/>
    <w:rsid w:val="0BC87D97"/>
    <w:rsid w:val="0BF00A21"/>
    <w:rsid w:val="0C56193E"/>
    <w:rsid w:val="0EF10D38"/>
    <w:rsid w:val="11494E5B"/>
    <w:rsid w:val="12456CBA"/>
    <w:rsid w:val="128B1070"/>
    <w:rsid w:val="12F9269A"/>
    <w:rsid w:val="133B6A25"/>
    <w:rsid w:val="150D2643"/>
    <w:rsid w:val="15213C56"/>
    <w:rsid w:val="1730606B"/>
    <w:rsid w:val="18041ADC"/>
    <w:rsid w:val="19706CFD"/>
    <w:rsid w:val="19EA7915"/>
    <w:rsid w:val="19FC6162"/>
    <w:rsid w:val="1AD80FFE"/>
    <w:rsid w:val="1CC96E50"/>
    <w:rsid w:val="1D331864"/>
    <w:rsid w:val="1D4961E3"/>
    <w:rsid w:val="1D65301C"/>
    <w:rsid w:val="1DAE4D4F"/>
    <w:rsid w:val="1E984D2C"/>
    <w:rsid w:val="1F6E3CDF"/>
    <w:rsid w:val="1FA11974"/>
    <w:rsid w:val="20635B7C"/>
    <w:rsid w:val="211B39F2"/>
    <w:rsid w:val="21584C46"/>
    <w:rsid w:val="23B109AB"/>
    <w:rsid w:val="248A5117"/>
    <w:rsid w:val="24D72693"/>
    <w:rsid w:val="2610789E"/>
    <w:rsid w:val="27196C26"/>
    <w:rsid w:val="274F6AEA"/>
    <w:rsid w:val="279E2283"/>
    <w:rsid w:val="2A0750A9"/>
    <w:rsid w:val="2A3A313B"/>
    <w:rsid w:val="2A7A5C2D"/>
    <w:rsid w:val="2D1011A5"/>
    <w:rsid w:val="2E0B376C"/>
    <w:rsid w:val="2E1D6FFC"/>
    <w:rsid w:val="2FE60777"/>
    <w:rsid w:val="31375CD1"/>
    <w:rsid w:val="31403E41"/>
    <w:rsid w:val="314B20D2"/>
    <w:rsid w:val="32A970B0"/>
    <w:rsid w:val="336200D3"/>
    <w:rsid w:val="350B1896"/>
    <w:rsid w:val="38C31392"/>
    <w:rsid w:val="39096AFA"/>
    <w:rsid w:val="394538AA"/>
    <w:rsid w:val="3A8F1281"/>
    <w:rsid w:val="3C705D66"/>
    <w:rsid w:val="3CD411CD"/>
    <w:rsid w:val="3D9A2417"/>
    <w:rsid w:val="3DB8289D"/>
    <w:rsid w:val="3DF5764D"/>
    <w:rsid w:val="3EF142B8"/>
    <w:rsid w:val="3EFB0C93"/>
    <w:rsid w:val="412905F6"/>
    <w:rsid w:val="413310B3"/>
    <w:rsid w:val="418D13E5"/>
    <w:rsid w:val="42AB0C22"/>
    <w:rsid w:val="43DD305D"/>
    <w:rsid w:val="443F7636"/>
    <w:rsid w:val="449A6429"/>
    <w:rsid w:val="452C3067"/>
    <w:rsid w:val="45651270"/>
    <w:rsid w:val="46427D4E"/>
    <w:rsid w:val="47121270"/>
    <w:rsid w:val="47F81D88"/>
    <w:rsid w:val="4A371726"/>
    <w:rsid w:val="4A66199E"/>
    <w:rsid w:val="4CE62AC6"/>
    <w:rsid w:val="4D151ABA"/>
    <w:rsid w:val="4D267823"/>
    <w:rsid w:val="4E0C363C"/>
    <w:rsid w:val="4E9B5FEF"/>
    <w:rsid w:val="500C2A05"/>
    <w:rsid w:val="50663E73"/>
    <w:rsid w:val="508348BF"/>
    <w:rsid w:val="50F25C6E"/>
    <w:rsid w:val="51112598"/>
    <w:rsid w:val="53F57F4F"/>
    <w:rsid w:val="54175631"/>
    <w:rsid w:val="54BE6593"/>
    <w:rsid w:val="55B61CEB"/>
    <w:rsid w:val="56505911"/>
    <w:rsid w:val="56AF17FC"/>
    <w:rsid w:val="56F17A3D"/>
    <w:rsid w:val="57357863"/>
    <w:rsid w:val="574735EC"/>
    <w:rsid w:val="59254E33"/>
    <w:rsid w:val="5A2275C4"/>
    <w:rsid w:val="5A276988"/>
    <w:rsid w:val="5A8C0EE1"/>
    <w:rsid w:val="5AE76118"/>
    <w:rsid w:val="5BE32D83"/>
    <w:rsid w:val="5E306AE0"/>
    <w:rsid w:val="5F0A2DCC"/>
    <w:rsid w:val="5F516338"/>
    <w:rsid w:val="5F8C6432"/>
    <w:rsid w:val="5FC8476A"/>
    <w:rsid w:val="60141108"/>
    <w:rsid w:val="60DA4B7E"/>
    <w:rsid w:val="6305198A"/>
    <w:rsid w:val="630B6593"/>
    <w:rsid w:val="645C0927"/>
    <w:rsid w:val="66D47E98"/>
    <w:rsid w:val="67954113"/>
    <w:rsid w:val="67B0692B"/>
    <w:rsid w:val="68EE6345"/>
    <w:rsid w:val="69C0E909"/>
    <w:rsid w:val="6A1C5DDE"/>
    <w:rsid w:val="6B403D4E"/>
    <w:rsid w:val="6C663340"/>
    <w:rsid w:val="6CFE08D8"/>
    <w:rsid w:val="6DCC18C9"/>
    <w:rsid w:val="6E382EA8"/>
    <w:rsid w:val="6F2838E9"/>
    <w:rsid w:val="719646C8"/>
    <w:rsid w:val="72914E8F"/>
    <w:rsid w:val="733817AF"/>
    <w:rsid w:val="73846F32"/>
    <w:rsid w:val="74373814"/>
    <w:rsid w:val="750D03A6"/>
    <w:rsid w:val="75671ED7"/>
    <w:rsid w:val="75782B5C"/>
    <w:rsid w:val="767174B1"/>
    <w:rsid w:val="76F047AD"/>
    <w:rsid w:val="77F7DA02"/>
    <w:rsid w:val="783C790D"/>
    <w:rsid w:val="784532D2"/>
    <w:rsid w:val="78A3591C"/>
    <w:rsid w:val="79FD2E0A"/>
    <w:rsid w:val="7A7C6425"/>
    <w:rsid w:val="7D233BA1"/>
    <w:rsid w:val="7DF40194"/>
    <w:rsid w:val="7F0013D2"/>
    <w:rsid w:val="8FFB6A77"/>
    <w:rsid w:val="BFEBE774"/>
    <w:rsid w:val="DBFE3527"/>
    <w:rsid w:val="FACB34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32"/>
      <w:szCs w:val="22"/>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6"/>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脚 Char"/>
    <w:basedOn w:val="5"/>
    <w:link w:val="2"/>
    <w:semiHidden/>
    <w:qFormat/>
    <w:uiPriority w:val="99"/>
    <w:rPr>
      <w:rFonts w:ascii="Calibri" w:hAnsi="Calibri" w:eastAsia="宋体" w:cs="Times New Roman"/>
      <w:sz w:val="18"/>
      <w:szCs w:val="18"/>
    </w:rPr>
  </w:style>
  <w:style w:type="character" w:customStyle="1" w:styleId="7">
    <w:name w:val="页眉 Char"/>
    <w:basedOn w:val="5"/>
    <w:link w:val="3"/>
    <w:semiHidden/>
    <w:qFormat/>
    <w:uiPriority w:val="99"/>
    <w:rPr>
      <w:rFonts w:ascii="Calibri" w:hAnsi="Calibri" w:eastAsia="宋体" w:cs="Times New Roman"/>
      <w:sz w:val="18"/>
      <w:szCs w:val="18"/>
    </w:rPr>
  </w:style>
  <w:style w:type="paragraph" w:customStyle="1" w:styleId="8">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paragraph" w:styleId="9">
    <w:name w:val="List Paragraph"/>
    <w:basedOn w:val="1"/>
    <w:qFormat/>
    <w:uiPriority w:val="99"/>
    <w:pPr>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4097" textRotate="1"/>
  </customShpExts>
</s:customData>
</file>

<file path=customXml/item2.xml><?xml version="1.0" encoding="utf-8"?>
<contractReview xmlns="http://schemas.wps.cn/vas-ai-hub/contract-review">
  <reviewItems xmlns="http://schemas.wps.cn/vas-ai-hub/contract-review">
    <reviewItem xmlns="http://schemas.wps.cn/vas-ai-hub/contract-review">
      <errorID xmlns="http://schemas.wps.cn/vas-ai-hub/contract-review">afe464c8-cd97-47e0-b26d-24ab972e3d12</errorID>
      <errorWord xmlns="http://schemas.wps.cn/vas-ai-hub/contract-review">5.事故责任单位的处理建议落实情况。</errorWord>
      <group xmlns="http://schemas.wps.cn/vas-ai-hub/contract-review">L1_AI</group>
      <groupName xmlns="http://schemas.wps.cn/vas-ai-hub/contract-review">深度校对</groupName>
      <ability xmlns="http://schemas.wps.cn/vas-ai-hub/contract-review">L2_AI_Title</ability>
      <abilityName xmlns="http://schemas.wps.cn/vas-ai-hub/contract-review">标题检查</abilityName>
      <candidateList xmlns="http://schemas.wps.cn/vas-ai-hub/contract-review"/>
      <explain xmlns="http://schemas.wps.cn/vas-ai-hub/contract-review">相邻标题序号不连续。标题‘5.事故责任单位的处理建议落实情况。’与前文标题序号不连续，前文标题序号为‘4.相关公职人员处分落实情况。’，此标题序号应顺延为‘5.’，且该标题下的行政处罚决定书文号与前文‘1.行政处罚落实情况。’重复，存在逻辑混乱。</explain>
      <paraID xmlns="http://schemas.wps.cn/vas-ai-hub/contract-review">7DF5A3C3</paraID>
      <start xmlns="http://schemas.wps.cn/vas-ai-hub/contract-review">0</start>
      <end xmlns="http://schemas.wps.cn/vas-ai-hub/contract-review">18</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28ccb6ad-c3d5-4f52-bf94-c3d25106c536</errorID>
      <errorWord xmlns="http://schemas.wps.cn/vas-ai-hub/contract-review">加强</errorWord>
      <group xmlns="http://schemas.wps.cn/vas-ai-hub/contract-review">L1_AI</group>
      <groupName xmlns="http://schemas.wps.cn/vas-ai-hub/contract-review">深度校对</groupName>
      <ability xmlns="http://schemas.wps.cn/vas-ai-hub/contract-review">L2_AI_Grammar</ability>
      <abilityName xmlns="http://schemas.wps.cn/vas-ai-hub/contract-review">语法纠错</abilityName>
      <candidateList xmlns="http://schemas.wps.cn/vas-ai-hub/contract-review">
        <item xmlns="http://schemas.wps.cn/vas-ai-hub/contract-review">在加强</item>
      </candidateList>
      <explain xmlns="http://schemas.wps.cn/vas-ai-hub/contract-review"/>
      <paraID xmlns="http://schemas.wps.cn/vas-ai-hub/contract-review">6A720D84</paraID>
      <start xmlns="http://schemas.wps.cn/vas-ai-hub/contract-review">3</start>
      <end xmlns="http://schemas.wps.cn/vas-ai-hub/contract-review">5</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4e4bba62-7d12-453a-badd-5d4486553509</errorID>
      <errorWord xmlns="http://schemas.wps.cn/vas-ai-hub/contract-review">。</errorWord>
      <group xmlns="http://schemas.wps.cn/vas-ai-hub/contract-review">L1_AI</group>
      <groupName xmlns="http://schemas.wps.cn/vas-ai-hub/contract-review">深度校对</groupName>
      <ability xmlns="http://schemas.wps.cn/vas-ai-hub/contract-review">L2_AI_Punc</ability>
      <abilityName xmlns="http://schemas.wps.cn/vas-ai-hub/contract-review">标点纠错</abilityName>
      <candidateList xmlns="http://schemas.wps.cn/vas-ai-hub/contract-review">
        <item xmlns="http://schemas.wps.cn/vas-ai-hub/contract-review">，</item>
      </candidateList>
      <explain xmlns="http://schemas.wps.cn/vas-ai-hub/contract-review"/>
      <paraID xmlns="http://schemas.wps.cn/vas-ai-hub/contract-review">6A720D84</paraID>
      <start xmlns="http://schemas.wps.cn/vas-ai-hub/contract-review">13</start>
      <end xmlns="http://schemas.wps.cn/vas-ai-hub/contract-review">14</end>
      <status xmlns="http://schemas.wps.cn/vas-ai-hub/contract-review">ignored</status>
      <modifiedWord xmlns="http://schemas.wps.cn/vas-ai-hub/contract-review"/>
      <trackRevisions xmlns="http://schemas.wps.cn/vas-ai-hub/contract-review">false</trackRevisions>
    </reviewItem>
  </reviewItems>
  <config xmlns="http://schemas.wps.cn/vas-ai-hub/contract-review"/>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1f23756-4876-4107-bdd8-35eaf70fc29c}">
  <ds:schemaRefs/>
</ds:datastoreItem>
</file>

<file path=docProps/app.xml><?xml version="1.0" encoding="utf-8"?>
<Properties xmlns="http://schemas.openxmlformats.org/officeDocument/2006/extended-properties" xmlns:vt="http://schemas.openxmlformats.org/officeDocument/2006/docPropsVTypes">
  <Template>Normal.dotm</Template>
  <Pages>9</Pages>
  <Words>4929</Words>
  <Characters>5166</Characters>
  <Lines>0</Lines>
  <Paragraphs>0</Paragraphs>
  <TotalTime>3</TotalTime>
  <ScaleCrop>false</ScaleCrop>
  <LinksUpToDate>false</LinksUpToDate>
  <CharactersWithSpaces>5166</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2025-01-10T11:27:00Z</dcterms:created>
  <dc:creator>冯昊</dc:creator>
  <cp:lastModifiedBy>kylin</cp:lastModifiedBy>
  <dcterms:modified xsi:type="dcterms:W3CDTF">2025-12-02T08:46:32Z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DC5CE028F7CC49A980FB19438BAAFD44_13</vt:lpwstr>
  </property>
  <property fmtid="{D5CDD505-2E9C-101B-9397-08002B2CF9AE}" pid="4" name="KSOTemplateDocerSaveRecord">
    <vt:lpwstr>eyJoZGlkIjoiMDkxYWIxYWRlZGIxNmJjYTAyYzhhMzI5YWI0Yzg2Y2EiLCJ1c2VySWQiOiI3NjQzMDMzMTgifQ==</vt:lpwstr>
  </property>
</Properties>
</file>